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240" w:lineRule="auto"/>
        <w:ind w:left="0" w:right="0"/>
        <w:jc w:val="center"/>
        <w:rPr>
          <w:rFonts w:hint="eastAsia" w:ascii="仿宋" w:hAnsi="仿宋" w:eastAsia="仿宋" w:cs="仿宋"/>
          <w:kern w:val="2"/>
          <w:sz w:val="44"/>
          <w:szCs w:val="44"/>
          <w:highlight w:val="none"/>
          <w:lang w:val="en-US" w:eastAsia="zh-CN" w:bidi="ar-SA"/>
        </w:rPr>
      </w:pPr>
    </w:p>
    <w:p>
      <w:pPr>
        <w:autoSpaceDE/>
        <w:autoSpaceDN/>
        <w:spacing w:before="0" w:after="0" w:line="240" w:lineRule="auto"/>
        <w:ind w:left="0" w:right="0"/>
        <w:jc w:val="center"/>
        <w:rPr>
          <w:rFonts w:hint="eastAsia" w:ascii="仿宋" w:hAnsi="仿宋" w:eastAsia="仿宋" w:cs="仿宋"/>
          <w:kern w:val="2"/>
          <w:sz w:val="44"/>
          <w:szCs w:val="44"/>
          <w:highlight w:val="none"/>
          <w:lang w:val="en-US" w:eastAsia="zh-CN" w:bidi="ar-SA"/>
        </w:rPr>
      </w:pPr>
    </w:p>
    <w:p>
      <w:pPr>
        <w:autoSpaceDE/>
        <w:autoSpaceDN/>
        <w:spacing w:before="0" w:after="0" w:line="240" w:lineRule="auto"/>
        <w:ind w:left="0" w:right="0"/>
        <w:jc w:val="center"/>
        <w:rPr>
          <w:rFonts w:hint="eastAsia" w:ascii="宋体" w:hAnsi="宋体" w:eastAsia="宋体" w:cs="宋体"/>
          <w:kern w:val="2"/>
          <w:sz w:val="44"/>
          <w:szCs w:val="44"/>
          <w:highlight w:val="none"/>
          <w:lang w:val="en-US" w:eastAsia="zh-CN" w:bidi="ar-SA"/>
        </w:rPr>
      </w:pPr>
    </w:p>
    <w:p>
      <w:pPr>
        <w:autoSpaceDE/>
        <w:autoSpaceDN/>
        <w:spacing w:before="0" w:after="0" w:line="240" w:lineRule="auto"/>
        <w:ind w:left="0" w:right="0"/>
        <w:jc w:val="center"/>
        <w:rPr>
          <w:rFonts w:hint="eastAsia" w:ascii="方正小标宋简体" w:hAnsi="方正小标宋简体" w:eastAsia="方正小标宋简体" w:cs="方正小标宋简体"/>
          <w:b w:val="0"/>
          <w:bCs w:val="0"/>
          <w:kern w:val="2"/>
          <w:sz w:val="44"/>
          <w:szCs w:val="44"/>
          <w:highlight w:val="none"/>
          <w:lang w:val="en-US"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2021—2023年度</w:t>
      </w:r>
      <w:r>
        <w:rPr>
          <w:rFonts w:hint="eastAsia" w:ascii="方正小标宋简体" w:hAnsi="方正小标宋简体" w:eastAsia="方正小标宋简体" w:cs="方正小标宋简体"/>
          <w:b w:val="0"/>
          <w:bCs w:val="0"/>
          <w:kern w:val="2"/>
          <w:sz w:val="44"/>
          <w:szCs w:val="44"/>
          <w:highlight w:val="none"/>
          <w:lang w:val="en-US" w:bidi="ar-SA"/>
        </w:rPr>
        <w:t>东片区保障性住房及配套</w:t>
      </w:r>
    </w:p>
    <w:p>
      <w:pPr>
        <w:autoSpaceDE/>
        <w:autoSpaceDN/>
        <w:spacing w:before="0" w:after="0" w:line="240" w:lineRule="auto"/>
        <w:ind w:left="0" w:right="0"/>
        <w:jc w:val="center"/>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bidi="ar-SA"/>
        </w:rPr>
        <w:t>设</w:t>
      </w:r>
      <w:r>
        <w:rPr>
          <w:rFonts w:hint="eastAsia" w:ascii="方正小标宋简体" w:hAnsi="方正小标宋简体" w:eastAsia="方正小标宋简体" w:cs="方正小标宋简体"/>
          <w:b w:val="0"/>
          <w:bCs w:val="0"/>
          <w:kern w:val="2"/>
          <w:sz w:val="44"/>
          <w:szCs w:val="44"/>
          <w:highlight w:val="none"/>
          <w:lang w:val="en-US" w:eastAsia="zh-CN" w:bidi="ar-SA"/>
        </w:rPr>
        <w:t>备</w:t>
      </w:r>
      <w:r>
        <w:rPr>
          <w:rFonts w:hint="eastAsia" w:ascii="方正小标宋简体" w:hAnsi="方正小标宋简体" w:eastAsia="方正小标宋简体" w:cs="方正小标宋简体"/>
          <w:b w:val="0"/>
          <w:bCs w:val="0"/>
          <w:kern w:val="2"/>
          <w:sz w:val="44"/>
          <w:szCs w:val="44"/>
          <w:highlight w:val="none"/>
          <w:lang w:val="en-US" w:bidi="ar-SA"/>
        </w:rPr>
        <w:t>设</w:t>
      </w:r>
      <w:r>
        <w:rPr>
          <w:rFonts w:hint="eastAsia" w:ascii="方正小标宋简体" w:hAnsi="方正小标宋简体" w:eastAsia="方正小标宋简体" w:cs="方正小标宋简体"/>
          <w:b w:val="0"/>
          <w:bCs w:val="0"/>
          <w:kern w:val="2"/>
          <w:sz w:val="44"/>
          <w:szCs w:val="44"/>
          <w:highlight w:val="none"/>
          <w:lang w:val="en-US" w:eastAsia="zh-CN" w:bidi="ar-SA"/>
        </w:rPr>
        <w:t>施日常</w:t>
      </w:r>
      <w:r>
        <w:rPr>
          <w:rFonts w:hint="eastAsia" w:ascii="方正小标宋简体" w:hAnsi="方正小标宋简体" w:eastAsia="方正小标宋简体" w:cs="方正小标宋简体"/>
          <w:b w:val="0"/>
          <w:bCs w:val="0"/>
          <w:kern w:val="2"/>
          <w:sz w:val="44"/>
          <w:szCs w:val="44"/>
          <w:highlight w:val="none"/>
          <w:lang w:val="en-US" w:bidi="ar-SA"/>
        </w:rPr>
        <w:t>小额</w:t>
      </w:r>
      <w:r>
        <w:rPr>
          <w:rFonts w:hint="eastAsia" w:ascii="方正小标宋简体" w:hAnsi="方正小标宋简体" w:eastAsia="方正小标宋简体" w:cs="方正小标宋简体"/>
          <w:b w:val="0"/>
          <w:bCs w:val="0"/>
          <w:kern w:val="2"/>
          <w:sz w:val="44"/>
          <w:szCs w:val="44"/>
          <w:highlight w:val="none"/>
          <w:lang w:val="en-US" w:eastAsia="zh-CN" w:bidi="ar-SA"/>
        </w:rPr>
        <w:t>维修项目建库</w:t>
      </w:r>
    </w:p>
    <w:p>
      <w:pPr>
        <w:autoSpaceDE/>
        <w:autoSpaceDN/>
        <w:spacing w:before="0" w:after="0" w:line="240" w:lineRule="auto"/>
        <w:ind w:left="0" w:right="0"/>
        <w:jc w:val="center"/>
        <w:rPr>
          <w:rFonts w:hint="eastAsia" w:ascii="宋体" w:hAnsi="宋体" w:eastAsia="宋体" w:cs="宋体"/>
          <w:kern w:val="2"/>
          <w:sz w:val="84"/>
          <w:szCs w:val="84"/>
          <w:highlight w:val="none"/>
          <w:lang w:val="en-US" w:bidi="ar-SA"/>
        </w:rPr>
      </w:pPr>
    </w:p>
    <w:p>
      <w:pPr>
        <w:autoSpaceDE/>
        <w:autoSpaceDN/>
        <w:spacing w:before="0" w:after="0" w:line="240" w:lineRule="auto"/>
        <w:ind w:left="0" w:right="0"/>
        <w:jc w:val="center"/>
        <w:rPr>
          <w:rFonts w:hint="eastAsia" w:ascii="宋体" w:hAnsi="宋体" w:eastAsia="宋体" w:cs="宋体"/>
          <w:kern w:val="2"/>
          <w:sz w:val="84"/>
          <w:szCs w:val="84"/>
          <w:highlight w:val="none"/>
          <w:lang w:val="en-US" w:bidi="ar-SA"/>
        </w:rPr>
      </w:pPr>
    </w:p>
    <w:p>
      <w:pPr>
        <w:autoSpaceDE/>
        <w:autoSpaceDN/>
        <w:spacing w:before="0" w:after="0" w:line="240" w:lineRule="auto"/>
        <w:ind w:left="0" w:right="0"/>
        <w:jc w:val="center"/>
        <w:rPr>
          <w:rFonts w:hint="eastAsia" w:ascii="宋体" w:hAnsi="宋体" w:eastAsia="宋体" w:cs="宋体"/>
          <w:kern w:val="2"/>
          <w:sz w:val="84"/>
          <w:szCs w:val="84"/>
          <w:highlight w:val="none"/>
          <w:lang w:val="en-US" w:bidi="ar-SA"/>
        </w:rPr>
      </w:pPr>
    </w:p>
    <w:p>
      <w:pPr>
        <w:autoSpaceDE/>
        <w:autoSpaceDN/>
        <w:spacing w:before="0" w:after="0" w:line="240" w:lineRule="auto"/>
        <w:ind w:left="0" w:right="0"/>
        <w:jc w:val="center"/>
        <w:rPr>
          <w:rFonts w:hint="eastAsia" w:ascii="宋体" w:hAnsi="宋体" w:eastAsia="宋体" w:cs="宋体"/>
          <w:kern w:val="2"/>
          <w:sz w:val="84"/>
          <w:szCs w:val="84"/>
          <w:highlight w:val="none"/>
          <w:lang w:val="en-US" w:bidi="ar-SA"/>
        </w:rPr>
      </w:pPr>
    </w:p>
    <w:p>
      <w:pPr>
        <w:autoSpaceDE/>
        <w:autoSpaceDN/>
        <w:spacing w:before="0" w:after="0" w:line="240" w:lineRule="auto"/>
        <w:ind w:left="0" w:right="0"/>
        <w:jc w:val="center"/>
        <w:rPr>
          <w:rFonts w:hint="eastAsia" w:ascii="宋体" w:hAnsi="宋体" w:eastAsia="宋体" w:cs="宋体"/>
          <w:kern w:val="2"/>
          <w:sz w:val="84"/>
          <w:szCs w:val="84"/>
          <w:highlight w:val="none"/>
          <w:lang w:val="en-US" w:bidi="ar-SA"/>
        </w:rPr>
      </w:pPr>
      <w:r>
        <w:rPr>
          <w:rFonts w:hint="eastAsia" w:ascii="宋体" w:hAnsi="宋体" w:eastAsia="宋体" w:cs="宋体"/>
          <w:kern w:val="2"/>
          <w:sz w:val="84"/>
          <w:szCs w:val="84"/>
          <w:highlight w:val="none"/>
          <w:lang w:val="en-US" w:bidi="ar-SA"/>
        </w:rPr>
        <w:t xml:space="preserve">招标文件 </w:t>
      </w:r>
    </w:p>
    <w:p>
      <w:pPr>
        <w:autoSpaceDE/>
        <w:autoSpaceDN/>
        <w:spacing w:before="0" w:after="0" w:line="240" w:lineRule="auto"/>
        <w:ind w:left="0" w:right="0"/>
        <w:jc w:val="center"/>
        <w:rPr>
          <w:rFonts w:hint="eastAsia" w:ascii="宋体" w:hAnsi="宋体" w:eastAsia="宋体" w:cs="宋体"/>
          <w:kern w:val="2"/>
          <w:sz w:val="84"/>
          <w:szCs w:val="84"/>
          <w:highlight w:val="none"/>
          <w:lang w:val="en-US" w:bidi="ar-SA"/>
        </w:rPr>
      </w:pPr>
    </w:p>
    <w:p>
      <w:pPr>
        <w:autoSpaceDE/>
        <w:autoSpaceDN/>
        <w:spacing w:before="240" w:beforeLines="100" w:after="0" w:line="240" w:lineRule="auto"/>
        <w:ind w:left="0" w:right="0" w:firstLine="1680" w:firstLineChars="600"/>
        <w:jc w:val="both"/>
        <w:rPr>
          <w:rFonts w:hint="eastAsia" w:ascii="宋体" w:hAnsi="宋体" w:eastAsia="宋体" w:cs="宋体"/>
          <w:bCs/>
          <w:kern w:val="2"/>
          <w:sz w:val="28"/>
          <w:szCs w:val="28"/>
          <w:highlight w:val="none"/>
          <w:lang w:val="en-US" w:bidi="ar-SA"/>
        </w:rPr>
      </w:pPr>
    </w:p>
    <w:p>
      <w:pPr>
        <w:autoSpaceDE/>
        <w:autoSpaceDN/>
        <w:spacing w:before="240" w:beforeLines="100" w:after="0" w:line="240" w:lineRule="auto"/>
        <w:ind w:left="0" w:right="0" w:firstLine="1680" w:firstLineChars="600"/>
        <w:jc w:val="both"/>
        <w:rPr>
          <w:rFonts w:hint="eastAsia" w:ascii="宋体" w:hAnsi="宋体" w:eastAsia="宋体" w:cs="宋体"/>
          <w:bCs/>
          <w:kern w:val="2"/>
          <w:sz w:val="28"/>
          <w:szCs w:val="28"/>
          <w:highlight w:val="none"/>
          <w:lang w:val="en-US" w:bidi="ar-SA"/>
        </w:rPr>
      </w:pPr>
    </w:p>
    <w:p>
      <w:pPr>
        <w:autoSpaceDE/>
        <w:autoSpaceDN/>
        <w:spacing w:before="240" w:beforeLines="100" w:after="0" w:line="240" w:lineRule="auto"/>
        <w:ind w:left="0" w:right="0" w:firstLine="1680" w:firstLineChars="600"/>
        <w:jc w:val="both"/>
        <w:rPr>
          <w:rFonts w:hint="eastAsia" w:ascii="宋体" w:hAnsi="宋体" w:eastAsia="宋体" w:cs="宋体"/>
          <w:bCs/>
          <w:kern w:val="2"/>
          <w:sz w:val="28"/>
          <w:szCs w:val="28"/>
          <w:highlight w:val="none"/>
          <w:lang w:val="en-US" w:bidi="ar-SA"/>
        </w:rPr>
      </w:pPr>
    </w:p>
    <w:p>
      <w:pPr>
        <w:autoSpaceDE/>
        <w:autoSpaceDN/>
        <w:spacing w:before="240" w:beforeLines="100" w:after="0" w:line="240" w:lineRule="auto"/>
        <w:ind w:left="0" w:right="0" w:firstLine="1920" w:firstLineChars="600"/>
        <w:jc w:val="both"/>
        <w:rPr>
          <w:rFonts w:hint="eastAsia" w:ascii="仿宋_GB2312" w:hAnsi="仿宋_GB2312" w:eastAsia="仿宋_GB2312" w:cs="仿宋_GB2312"/>
          <w:bCs/>
          <w:kern w:val="2"/>
          <w:sz w:val="32"/>
          <w:szCs w:val="32"/>
          <w:highlight w:val="none"/>
          <w:lang w:val="en-US" w:bidi="ar-SA"/>
        </w:rPr>
      </w:pPr>
      <w:r>
        <w:rPr>
          <w:rFonts w:hint="eastAsia" w:ascii="仿宋_GB2312" w:hAnsi="仿宋_GB2312" w:eastAsia="仿宋_GB2312" w:cs="仿宋_GB2312"/>
          <w:bCs/>
          <w:kern w:val="2"/>
          <w:sz w:val="32"/>
          <w:szCs w:val="32"/>
          <w:highlight w:val="none"/>
          <w:lang w:val="en-US" w:bidi="ar-SA"/>
        </w:rPr>
        <w:t xml:space="preserve">招 标 单 位：广州市城壹物业发展有限公司       </w:t>
      </w:r>
    </w:p>
    <w:p>
      <w:pPr>
        <w:autoSpaceDE/>
        <w:autoSpaceDN/>
        <w:spacing w:before="240" w:beforeLines="100" w:after="0" w:line="240" w:lineRule="auto"/>
        <w:ind w:left="0" w:right="0" w:firstLine="1920" w:firstLineChars="600"/>
        <w:jc w:val="both"/>
        <w:rPr>
          <w:rFonts w:hint="eastAsia" w:ascii="仿宋_GB2312" w:hAnsi="仿宋_GB2312" w:eastAsia="仿宋_GB2312" w:cs="仿宋_GB2312"/>
          <w:bCs/>
          <w:kern w:val="2"/>
          <w:sz w:val="32"/>
          <w:szCs w:val="32"/>
          <w:highlight w:val="none"/>
          <w:lang w:val="en-US" w:bidi="ar-SA"/>
        </w:rPr>
      </w:pPr>
      <w:r>
        <w:rPr>
          <w:rFonts w:hint="eastAsia" w:ascii="仿宋_GB2312" w:hAnsi="仿宋_GB2312" w:eastAsia="仿宋_GB2312" w:cs="仿宋_GB2312"/>
          <w:bCs/>
          <w:kern w:val="2"/>
          <w:sz w:val="32"/>
          <w:szCs w:val="32"/>
          <w:highlight w:val="none"/>
          <w:lang w:val="en-US" w:bidi="ar-SA"/>
        </w:rPr>
        <w:t>招标代理单位：</w:t>
      </w:r>
      <w:r>
        <w:rPr>
          <w:rFonts w:hint="eastAsia" w:ascii="仿宋_GB2312" w:hAnsi="仿宋_GB2312" w:eastAsia="仿宋_GB2312" w:cs="仿宋_GB2312"/>
          <w:bCs/>
          <w:kern w:val="2"/>
          <w:sz w:val="32"/>
          <w:szCs w:val="32"/>
          <w:highlight w:val="none"/>
          <w:lang w:val="en-US" w:eastAsia="zh-CN" w:bidi="ar-SA"/>
        </w:rPr>
        <w:t>中科高盛咨询集团有限公司</w:t>
      </w:r>
      <w:r>
        <w:rPr>
          <w:rFonts w:hint="eastAsia" w:ascii="仿宋_GB2312" w:hAnsi="仿宋_GB2312" w:eastAsia="仿宋_GB2312" w:cs="仿宋_GB2312"/>
          <w:bCs/>
          <w:kern w:val="2"/>
          <w:sz w:val="32"/>
          <w:szCs w:val="32"/>
          <w:highlight w:val="none"/>
          <w:lang w:val="en-US" w:bidi="ar-SA"/>
        </w:rPr>
        <w:t xml:space="preserve">   </w:t>
      </w:r>
    </w:p>
    <w:p>
      <w:pPr>
        <w:autoSpaceDE/>
        <w:autoSpaceDN/>
        <w:spacing w:before="240" w:beforeLines="100" w:after="0" w:line="240" w:lineRule="auto"/>
        <w:ind w:left="0" w:right="0" w:firstLine="1920" w:firstLineChars="600"/>
        <w:jc w:val="both"/>
        <w:rPr>
          <w:rFonts w:hint="eastAsia" w:ascii="仿宋_GB2312" w:hAnsi="仿宋_GB2312" w:eastAsia="仿宋_GB2312" w:cs="仿宋_GB2312"/>
          <w:bCs/>
          <w:kern w:val="2"/>
          <w:sz w:val="32"/>
          <w:szCs w:val="32"/>
          <w:highlight w:val="none"/>
          <w:lang w:val="en-US" w:bidi="ar-SA"/>
        </w:rPr>
      </w:pPr>
      <w:r>
        <w:rPr>
          <w:rFonts w:hint="eastAsia" w:ascii="仿宋_GB2312" w:hAnsi="仿宋_GB2312" w:eastAsia="仿宋_GB2312" w:cs="仿宋_GB2312"/>
          <w:bCs/>
          <w:kern w:val="2"/>
          <w:sz w:val="32"/>
          <w:szCs w:val="32"/>
          <w:highlight w:val="none"/>
          <w:lang w:val="en-US" w:bidi="ar-SA"/>
        </w:rPr>
        <w:t xml:space="preserve">日 </w:t>
      </w:r>
      <w:r>
        <w:rPr>
          <w:rFonts w:hint="eastAsia" w:ascii="仿宋_GB2312" w:hAnsi="仿宋_GB2312" w:eastAsia="仿宋_GB2312" w:cs="仿宋_GB2312"/>
          <w:bCs/>
          <w:kern w:val="2"/>
          <w:sz w:val="32"/>
          <w:szCs w:val="32"/>
          <w:highlight w:val="none"/>
          <w:lang w:val="en-US" w:eastAsia="zh-CN" w:bidi="ar-SA"/>
        </w:rPr>
        <w:t xml:space="preserve">      </w:t>
      </w:r>
      <w:r>
        <w:rPr>
          <w:rFonts w:hint="eastAsia" w:ascii="仿宋_GB2312" w:hAnsi="仿宋_GB2312" w:eastAsia="仿宋_GB2312" w:cs="仿宋_GB2312"/>
          <w:bCs/>
          <w:kern w:val="2"/>
          <w:sz w:val="32"/>
          <w:szCs w:val="32"/>
          <w:highlight w:val="none"/>
          <w:lang w:val="en-US" w:bidi="ar-SA"/>
        </w:rPr>
        <w:t>期 ： 20</w:t>
      </w:r>
      <w:r>
        <w:rPr>
          <w:rFonts w:hint="eastAsia" w:ascii="仿宋_GB2312" w:hAnsi="仿宋_GB2312" w:eastAsia="仿宋_GB2312" w:cs="仿宋_GB2312"/>
          <w:bCs/>
          <w:kern w:val="2"/>
          <w:sz w:val="32"/>
          <w:szCs w:val="32"/>
          <w:highlight w:val="none"/>
          <w:lang w:val="en-US" w:eastAsia="zh-CN" w:bidi="ar-SA"/>
        </w:rPr>
        <w:t>21</w:t>
      </w:r>
      <w:r>
        <w:rPr>
          <w:rFonts w:hint="eastAsia" w:ascii="仿宋_GB2312" w:hAnsi="仿宋_GB2312" w:eastAsia="仿宋_GB2312" w:cs="仿宋_GB2312"/>
          <w:bCs/>
          <w:kern w:val="2"/>
          <w:sz w:val="32"/>
          <w:szCs w:val="32"/>
          <w:highlight w:val="none"/>
          <w:lang w:val="en-US" w:bidi="ar-SA"/>
        </w:rPr>
        <w:t xml:space="preserve"> 年</w:t>
      </w:r>
      <w:r>
        <w:rPr>
          <w:rFonts w:hint="eastAsia" w:ascii="仿宋_GB2312" w:hAnsi="仿宋_GB2312" w:eastAsia="仿宋_GB2312" w:cs="仿宋_GB2312"/>
          <w:bCs/>
          <w:kern w:val="2"/>
          <w:sz w:val="32"/>
          <w:szCs w:val="32"/>
          <w:highlight w:val="none"/>
          <w:u w:val="single"/>
          <w:lang w:val="en-US" w:bidi="ar-SA"/>
        </w:rPr>
        <w:t xml:space="preserve"> </w:t>
      </w:r>
      <w:r>
        <w:rPr>
          <w:rFonts w:hint="eastAsia" w:ascii="仿宋_GB2312" w:hAnsi="仿宋_GB2312" w:eastAsia="仿宋_GB2312" w:cs="仿宋_GB2312"/>
          <w:bCs/>
          <w:kern w:val="2"/>
          <w:sz w:val="32"/>
          <w:szCs w:val="32"/>
          <w:highlight w:val="none"/>
          <w:u w:val="single"/>
          <w:lang w:val="en-US" w:eastAsia="zh-CN" w:bidi="ar-SA"/>
        </w:rPr>
        <w:t>9</w:t>
      </w:r>
      <w:r>
        <w:rPr>
          <w:rFonts w:hint="eastAsia" w:ascii="仿宋_GB2312" w:hAnsi="仿宋_GB2312" w:eastAsia="仿宋_GB2312" w:cs="仿宋_GB2312"/>
          <w:bCs/>
          <w:kern w:val="2"/>
          <w:sz w:val="32"/>
          <w:szCs w:val="32"/>
          <w:highlight w:val="none"/>
          <w:u w:val="single"/>
          <w:lang w:val="en-US" w:bidi="ar-SA"/>
        </w:rPr>
        <w:t xml:space="preserve"> </w:t>
      </w:r>
      <w:r>
        <w:rPr>
          <w:rFonts w:hint="eastAsia" w:ascii="仿宋_GB2312" w:hAnsi="仿宋_GB2312" w:eastAsia="仿宋_GB2312" w:cs="仿宋_GB2312"/>
          <w:bCs/>
          <w:kern w:val="2"/>
          <w:sz w:val="32"/>
          <w:szCs w:val="32"/>
          <w:highlight w:val="none"/>
          <w:lang w:val="en-US" w:bidi="ar-SA"/>
        </w:rPr>
        <w:t xml:space="preserve">月 </w:t>
      </w:r>
    </w:p>
    <w:p>
      <w:pPr>
        <w:spacing w:after="0"/>
        <w:ind w:firstLine="0" w:firstLineChars="0"/>
        <w:jc w:val="left"/>
        <w:rPr>
          <w:rFonts w:hint="eastAsia" w:ascii="仿宋_GB2312" w:hAnsi="仿宋_GB2312" w:eastAsia="仿宋_GB2312" w:cs="仿宋_GB2312"/>
          <w:sz w:val="32"/>
          <w:szCs w:val="24"/>
          <w:highlight w:val="none"/>
        </w:rPr>
        <w:sectPr>
          <w:type w:val="continuous"/>
          <w:pgSz w:w="11910" w:h="16850"/>
          <w:pgMar w:top="1440" w:right="1080" w:bottom="1440" w:left="1080" w:header="720" w:footer="720" w:gutter="0"/>
          <w:cols w:space="720" w:num="1"/>
        </w:sectPr>
      </w:pPr>
    </w:p>
    <w:p>
      <w:pPr>
        <w:pStyle w:val="5"/>
        <w:spacing w:before="51"/>
        <w:ind w:firstLine="482" w:firstLineChars="200"/>
        <w:outlineLvl w:val="0"/>
        <w:rPr>
          <w:w w:val="99"/>
          <w:highlight w:val="none"/>
        </w:rPr>
      </w:pPr>
      <w:bookmarkStart w:id="0" w:name="_Toc32303"/>
      <w:r>
        <w:rPr>
          <w:highlight w:val="none"/>
        </w:rPr>
        <w:t>一、投标人须知一览表</w:t>
      </w:r>
      <w:bookmarkEnd w:id="0"/>
      <w:r>
        <w:rPr>
          <w:w w:val="99"/>
          <w:highlight w:val="none"/>
        </w:rPr>
        <w:t xml:space="preserve"> </w:t>
      </w:r>
    </w:p>
    <w:tbl>
      <w:tblPr>
        <w:tblStyle w:val="16"/>
        <w:tblW w:w="9477" w:type="dxa"/>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1"/>
        <w:gridCol w:w="1712"/>
        <w:gridCol w:w="7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61" w:type="dxa"/>
          </w:tcPr>
          <w:p>
            <w:pPr>
              <w:pStyle w:val="23"/>
              <w:spacing w:before="30"/>
              <w:ind w:left="148" w:right="21" w:firstLine="0" w:firstLineChars="0"/>
              <w:jc w:val="center"/>
              <w:rPr>
                <w:b/>
                <w:spacing w:val="6"/>
                <w:w w:val="99"/>
                <w:sz w:val="21"/>
                <w:highlight w:val="none"/>
              </w:rPr>
            </w:pPr>
            <w:r>
              <w:rPr>
                <w:b/>
                <w:spacing w:val="6"/>
                <w:sz w:val="21"/>
                <w:highlight w:val="none"/>
              </w:rPr>
              <w:t>序号</w:t>
            </w:r>
            <w:r>
              <w:rPr>
                <w:b/>
                <w:spacing w:val="6"/>
                <w:w w:val="99"/>
                <w:sz w:val="21"/>
                <w:highlight w:val="none"/>
              </w:rPr>
              <w:t xml:space="preserve"> </w:t>
            </w:r>
          </w:p>
        </w:tc>
        <w:tc>
          <w:tcPr>
            <w:tcW w:w="1712" w:type="dxa"/>
          </w:tcPr>
          <w:p>
            <w:pPr>
              <w:pStyle w:val="23"/>
              <w:spacing w:before="30"/>
              <w:ind w:left="145" w:right="40" w:firstLine="0" w:firstLineChars="0"/>
              <w:jc w:val="center"/>
              <w:rPr>
                <w:b/>
                <w:w w:val="99"/>
                <w:sz w:val="21"/>
                <w:highlight w:val="none"/>
              </w:rPr>
            </w:pPr>
            <w:r>
              <w:rPr>
                <w:b/>
                <w:spacing w:val="52"/>
                <w:sz w:val="21"/>
                <w:highlight w:val="none"/>
              </w:rPr>
              <w:t>内 容</w:t>
            </w:r>
            <w:r>
              <w:rPr>
                <w:b/>
                <w:w w:val="99"/>
                <w:sz w:val="21"/>
                <w:highlight w:val="none"/>
              </w:rPr>
              <w:t xml:space="preserve"> </w:t>
            </w:r>
          </w:p>
        </w:tc>
        <w:tc>
          <w:tcPr>
            <w:tcW w:w="7104" w:type="dxa"/>
          </w:tcPr>
          <w:p>
            <w:pPr>
              <w:pStyle w:val="23"/>
              <w:spacing w:before="30"/>
              <w:ind w:left="569" w:right="464" w:firstLine="0" w:firstLineChars="0"/>
              <w:jc w:val="center"/>
              <w:rPr>
                <w:b/>
                <w:sz w:val="21"/>
                <w:highlight w:val="none"/>
              </w:rPr>
            </w:pPr>
            <w:r>
              <w:rPr>
                <w:b/>
                <w:sz w:val="21"/>
                <w:highlight w:val="none"/>
              </w:rPr>
              <w:t>说明与要求</w:t>
            </w:r>
            <w:r>
              <w:rPr>
                <w:b/>
                <w:w w:val="99"/>
                <w:sz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61" w:type="dxa"/>
            <w:tcBorders>
              <w:bottom w:val="single" w:color="000000" w:sz="8" w:space="0"/>
            </w:tcBorders>
            <w:vAlign w:val="center"/>
          </w:tcPr>
          <w:p>
            <w:pPr>
              <w:pStyle w:val="23"/>
              <w:ind w:left="141" w:right="21" w:firstLine="0" w:firstLineChars="0"/>
              <w:jc w:val="center"/>
              <w:rPr>
                <w:sz w:val="21"/>
                <w:highlight w:val="none"/>
              </w:rPr>
            </w:pPr>
            <w:r>
              <w:rPr>
                <w:sz w:val="21"/>
                <w:highlight w:val="none"/>
              </w:rPr>
              <w:t>1</w:t>
            </w:r>
          </w:p>
        </w:tc>
        <w:tc>
          <w:tcPr>
            <w:tcW w:w="1712" w:type="dxa"/>
            <w:tcBorders>
              <w:bottom w:val="single" w:color="000000" w:sz="8" w:space="0"/>
            </w:tcBorders>
            <w:vAlign w:val="center"/>
          </w:tcPr>
          <w:p>
            <w:pPr>
              <w:pStyle w:val="23"/>
              <w:ind w:left="145" w:right="40" w:firstLine="0" w:firstLineChars="0"/>
              <w:jc w:val="center"/>
              <w:rPr>
                <w:sz w:val="21"/>
                <w:highlight w:val="none"/>
              </w:rPr>
            </w:pPr>
            <w:r>
              <w:rPr>
                <w:sz w:val="21"/>
                <w:highlight w:val="none"/>
              </w:rPr>
              <w:t>定义</w:t>
            </w:r>
          </w:p>
        </w:tc>
        <w:tc>
          <w:tcPr>
            <w:tcW w:w="7104" w:type="dxa"/>
            <w:tcBorders>
              <w:bottom w:val="single" w:color="000000" w:sz="8" w:space="0"/>
            </w:tcBorders>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sz w:val="21"/>
                <w:highlight w:val="none"/>
              </w:rPr>
              <w:t xml:space="preserve">招 标 人：广州市城壹物业发展有限公司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sz w:val="21"/>
                <w:highlight w:val="none"/>
              </w:rPr>
              <w:t>招标代理：</w:t>
            </w:r>
            <w:r>
              <w:rPr>
                <w:rFonts w:hint="eastAsia"/>
                <w:sz w:val="21"/>
                <w:highlight w:val="none"/>
                <w:lang w:eastAsia="zh-CN"/>
              </w:rPr>
              <w:t>中科高盛咨询集团有限公司</w:t>
            </w:r>
            <w:r>
              <w:rPr>
                <w:sz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661" w:type="dxa"/>
            <w:tcBorders>
              <w:top w:val="single" w:color="000000" w:sz="8" w:space="0"/>
            </w:tcBorders>
            <w:vAlign w:val="center"/>
          </w:tcPr>
          <w:p>
            <w:pPr>
              <w:pStyle w:val="23"/>
              <w:spacing w:before="102"/>
              <w:ind w:left="141" w:right="21" w:firstLine="0" w:firstLineChars="0"/>
              <w:jc w:val="center"/>
              <w:rPr>
                <w:sz w:val="21"/>
                <w:highlight w:val="none"/>
              </w:rPr>
            </w:pPr>
            <w:r>
              <w:rPr>
                <w:sz w:val="21"/>
                <w:highlight w:val="none"/>
              </w:rPr>
              <w:t>2</w:t>
            </w:r>
          </w:p>
        </w:tc>
        <w:tc>
          <w:tcPr>
            <w:tcW w:w="1712" w:type="dxa"/>
            <w:tcBorders>
              <w:top w:val="single" w:color="000000" w:sz="8" w:space="0"/>
            </w:tcBorders>
            <w:vAlign w:val="center"/>
          </w:tcPr>
          <w:p>
            <w:pPr>
              <w:pStyle w:val="23"/>
              <w:spacing w:before="102"/>
              <w:ind w:left="145" w:right="40" w:firstLine="0" w:firstLineChars="0"/>
              <w:jc w:val="center"/>
              <w:rPr>
                <w:sz w:val="21"/>
                <w:highlight w:val="none"/>
              </w:rPr>
            </w:pPr>
            <w:r>
              <w:rPr>
                <w:sz w:val="21"/>
                <w:highlight w:val="none"/>
              </w:rPr>
              <w:t>项目名称</w:t>
            </w:r>
          </w:p>
        </w:tc>
        <w:tc>
          <w:tcPr>
            <w:tcW w:w="7104" w:type="dxa"/>
            <w:tcBorders>
              <w:top w:val="single" w:color="000000" w:sz="8" w:space="0"/>
            </w:tcBorders>
            <w:vAlign w:val="center"/>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sz w:val="21"/>
                <w:highlight w:val="none"/>
              </w:rPr>
            </w:pPr>
            <w:r>
              <w:rPr>
                <w:rFonts w:hint="eastAsia"/>
                <w:sz w:val="21"/>
                <w:highlight w:val="none"/>
                <w:lang w:eastAsia="zh-CN"/>
              </w:rPr>
              <w:t>2021—2023年度东片区保障性住房及配套设备设施日常小额维修项目建库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0" w:hRule="atLeast"/>
        </w:trPr>
        <w:tc>
          <w:tcPr>
            <w:tcW w:w="661" w:type="dxa"/>
            <w:vAlign w:val="center"/>
          </w:tcPr>
          <w:p>
            <w:pPr>
              <w:pStyle w:val="23"/>
              <w:ind w:left="141" w:right="21" w:firstLine="0" w:firstLineChars="0"/>
              <w:jc w:val="center"/>
              <w:rPr>
                <w:sz w:val="21"/>
                <w:highlight w:val="none"/>
              </w:rPr>
            </w:pPr>
            <w:r>
              <w:rPr>
                <w:sz w:val="21"/>
                <w:highlight w:val="none"/>
              </w:rPr>
              <w:t>3</w:t>
            </w:r>
          </w:p>
        </w:tc>
        <w:tc>
          <w:tcPr>
            <w:tcW w:w="1712" w:type="dxa"/>
            <w:vAlign w:val="center"/>
          </w:tcPr>
          <w:p>
            <w:pPr>
              <w:pStyle w:val="23"/>
              <w:ind w:left="145" w:right="40" w:firstLine="0" w:firstLineChars="0"/>
              <w:jc w:val="center"/>
              <w:rPr>
                <w:sz w:val="21"/>
                <w:highlight w:val="none"/>
              </w:rPr>
            </w:pPr>
            <w:r>
              <w:rPr>
                <w:sz w:val="21"/>
                <w:highlight w:val="none"/>
              </w:rPr>
              <w:t>服务范围</w:t>
            </w:r>
          </w:p>
        </w:tc>
        <w:tc>
          <w:tcPr>
            <w:tcW w:w="7104" w:type="dxa"/>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sz w:val="21"/>
                <w:highlight w:val="none"/>
              </w:rPr>
            </w:pPr>
            <w:r>
              <w:rPr>
                <w:sz w:val="21"/>
                <w:highlight w:val="none"/>
              </w:rPr>
              <w:t>在符合《中华人民共和国招标投标法》的情况下，本次对</w:t>
            </w:r>
            <w:r>
              <w:rPr>
                <w:rFonts w:hint="eastAsia"/>
                <w:sz w:val="21"/>
                <w:highlight w:val="none"/>
                <w:u w:val="single"/>
                <w:lang w:eastAsia="zh-CN"/>
              </w:rPr>
              <w:t>2021—2023年度东片区保障性住房及配套设备设施日常小额维修项目建库</w:t>
            </w:r>
            <w:r>
              <w:rPr>
                <w:sz w:val="21"/>
                <w:highlight w:val="none"/>
              </w:rPr>
              <w:t xml:space="preserve">，入库单位负责对未达到招投标相关法律法规规定公开招标标准的小额维修工程施工。发生实际项目需求时，在本次建库范围内确定具体的承接单位， 具体按建库单位有关规定执行，最终解释权归建库单位所有。本项目涉及的维修体包括建库单位全部产权及受委托产权拥有物业。主要分布在广州市东片区（天河区、黄埔区、增城区、番禺区、南沙区），其主要类型包括住宅、商铺等。维修的类别主要包括但不限于水电改造、管道疏通、漏水修补、全屋翻新、机电设备更换、配套设施改造等。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sz w:val="21"/>
                <w:highlight w:val="none"/>
              </w:rPr>
            </w:pPr>
            <w:r>
              <w:rPr>
                <w:sz w:val="21"/>
                <w:highlight w:val="none"/>
              </w:rPr>
              <w:t>本次建库有效期：2 年。若本库到期，新库未建，继续延用至新库建成。如国家、省、市有关规定对管理要求有调整，建库单位按规定进行相</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sz w:val="21"/>
                <w:highlight w:val="none"/>
              </w:rPr>
              <w:t xml:space="preserve">应调整。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61" w:type="dxa"/>
            <w:vAlign w:val="center"/>
          </w:tcPr>
          <w:p>
            <w:pPr>
              <w:pStyle w:val="23"/>
              <w:spacing w:before="30"/>
              <w:ind w:left="141" w:right="21" w:firstLine="0" w:firstLineChars="0"/>
              <w:jc w:val="center"/>
              <w:rPr>
                <w:sz w:val="21"/>
                <w:highlight w:val="none"/>
              </w:rPr>
            </w:pPr>
            <w:r>
              <w:rPr>
                <w:sz w:val="21"/>
                <w:highlight w:val="none"/>
              </w:rPr>
              <w:t>4</w:t>
            </w:r>
          </w:p>
        </w:tc>
        <w:tc>
          <w:tcPr>
            <w:tcW w:w="1712" w:type="dxa"/>
            <w:vAlign w:val="center"/>
          </w:tcPr>
          <w:p>
            <w:pPr>
              <w:pStyle w:val="23"/>
              <w:spacing w:before="30"/>
              <w:ind w:left="145" w:right="40" w:firstLine="0" w:firstLineChars="0"/>
              <w:jc w:val="center"/>
              <w:rPr>
                <w:sz w:val="21"/>
                <w:highlight w:val="none"/>
              </w:rPr>
            </w:pPr>
            <w:r>
              <w:rPr>
                <w:sz w:val="21"/>
                <w:highlight w:val="none"/>
              </w:rPr>
              <w:t>资金来源</w:t>
            </w:r>
          </w:p>
        </w:tc>
        <w:tc>
          <w:tcPr>
            <w:tcW w:w="71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sz w:val="21"/>
                <w:highlight w:val="none"/>
              </w:rPr>
            </w:pPr>
            <w:r>
              <w:rPr>
                <w:sz w:val="21"/>
                <w:highlight w:val="none"/>
              </w:rPr>
              <w:t xml:space="preserve">自筹资金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61" w:type="dxa"/>
            <w:vAlign w:val="center"/>
          </w:tcPr>
          <w:p>
            <w:pPr>
              <w:pStyle w:val="23"/>
              <w:spacing w:before="60"/>
              <w:ind w:left="141" w:right="21" w:firstLine="0" w:firstLineChars="0"/>
              <w:jc w:val="center"/>
              <w:rPr>
                <w:sz w:val="21"/>
                <w:highlight w:val="none"/>
              </w:rPr>
            </w:pPr>
            <w:r>
              <w:rPr>
                <w:sz w:val="21"/>
                <w:highlight w:val="none"/>
              </w:rPr>
              <w:t>5</w:t>
            </w:r>
          </w:p>
        </w:tc>
        <w:tc>
          <w:tcPr>
            <w:tcW w:w="1712" w:type="dxa"/>
            <w:vAlign w:val="center"/>
          </w:tcPr>
          <w:p>
            <w:pPr>
              <w:pStyle w:val="23"/>
              <w:spacing w:before="60"/>
              <w:ind w:left="145" w:right="40" w:firstLine="0" w:firstLineChars="0"/>
              <w:jc w:val="center"/>
              <w:rPr>
                <w:b/>
                <w:w w:val="99"/>
                <w:sz w:val="21"/>
                <w:highlight w:val="none"/>
              </w:rPr>
            </w:pPr>
            <w:r>
              <w:rPr>
                <w:b/>
                <w:sz w:val="21"/>
                <w:highlight w:val="none"/>
              </w:rPr>
              <w:t>合同期限</w:t>
            </w:r>
          </w:p>
        </w:tc>
        <w:tc>
          <w:tcPr>
            <w:tcW w:w="71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b/>
                <w:sz w:val="21"/>
                <w:highlight w:val="none"/>
              </w:rPr>
            </w:pPr>
            <w:r>
              <w:rPr>
                <w:b/>
                <w:sz w:val="21"/>
                <w:highlight w:val="none"/>
              </w:rPr>
              <w:t>自签订合同之日起 2 年。</w:t>
            </w:r>
            <w:r>
              <w:rPr>
                <w:b/>
                <w:w w:val="99"/>
                <w:sz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3" w:hRule="atLeast"/>
        </w:trPr>
        <w:tc>
          <w:tcPr>
            <w:tcW w:w="661" w:type="dxa"/>
            <w:vAlign w:val="center"/>
          </w:tcPr>
          <w:p>
            <w:pPr>
              <w:pStyle w:val="23"/>
              <w:spacing w:before="1"/>
              <w:ind w:left="141" w:right="21" w:firstLine="0" w:firstLineChars="0"/>
              <w:jc w:val="center"/>
              <w:rPr>
                <w:sz w:val="21"/>
                <w:highlight w:val="none"/>
              </w:rPr>
            </w:pPr>
            <w:r>
              <w:rPr>
                <w:sz w:val="21"/>
                <w:highlight w:val="none"/>
              </w:rPr>
              <w:t>6</w:t>
            </w:r>
          </w:p>
        </w:tc>
        <w:tc>
          <w:tcPr>
            <w:tcW w:w="1712" w:type="dxa"/>
            <w:vAlign w:val="center"/>
          </w:tcPr>
          <w:p>
            <w:pPr>
              <w:pStyle w:val="23"/>
              <w:spacing w:before="1"/>
              <w:ind w:left="145" w:right="40" w:firstLine="0" w:firstLineChars="0"/>
              <w:jc w:val="center"/>
              <w:rPr>
                <w:b/>
                <w:w w:val="99"/>
                <w:sz w:val="21"/>
                <w:highlight w:val="none"/>
              </w:rPr>
            </w:pPr>
            <w:r>
              <w:rPr>
                <w:b/>
                <w:sz w:val="21"/>
                <w:highlight w:val="none"/>
              </w:rPr>
              <w:t>报价方式</w:t>
            </w:r>
          </w:p>
        </w:tc>
        <w:tc>
          <w:tcPr>
            <w:tcW w:w="7104" w:type="dxa"/>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rFonts w:hint="eastAsia"/>
                <w:sz w:val="21"/>
                <w:highlight w:val="none"/>
              </w:rPr>
            </w:pPr>
            <w:r>
              <w:rPr>
                <w:rFonts w:hint="eastAsia"/>
                <w:sz w:val="21"/>
                <w:highlight w:val="none"/>
              </w:rPr>
              <w:t xml:space="preserve">以下浮率形式进行报价，入库后将按中标下浮率计算结算价，采用综合单价包干进行结算。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rFonts w:hint="eastAsia"/>
                <w:sz w:val="21"/>
                <w:highlight w:val="none"/>
              </w:rPr>
              <w:t xml:space="preserve">如报价下浮率超出 20%（不含 20%），须提供有效的成本证明，如无法提供或所提供的成本证明文件被评标委员会判定为无效证明的，将被以无效投标处理。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7" w:hRule="atLeast"/>
        </w:trPr>
        <w:tc>
          <w:tcPr>
            <w:tcW w:w="661" w:type="dxa"/>
            <w:vAlign w:val="center"/>
          </w:tcPr>
          <w:p>
            <w:pPr>
              <w:pStyle w:val="23"/>
              <w:spacing w:before="131"/>
              <w:ind w:left="141" w:right="21" w:firstLine="0" w:firstLineChars="0"/>
              <w:jc w:val="center"/>
              <w:rPr>
                <w:sz w:val="21"/>
                <w:highlight w:val="none"/>
              </w:rPr>
            </w:pPr>
            <w:r>
              <w:rPr>
                <w:sz w:val="21"/>
                <w:highlight w:val="none"/>
              </w:rPr>
              <w:t>7</w:t>
            </w:r>
          </w:p>
        </w:tc>
        <w:tc>
          <w:tcPr>
            <w:tcW w:w="1712" w:type="dxa"/>
            <w:vAlign w:val="center"/>
          </w:tcPr>
          <w:p>
            <w:pPr>
              <w:pStyle w:val="23"/>
              <w:spacing w:before="146"/>
              <w:ind w:left="145" w:right="41" w:firstLine="0" w:firstLineChars="0"/>
              <w:jc w:val="center"/>
              <w:rPr>
                <w:sz w:val="21"/>
                <w:highlight w:val="none"/>
              </w:rPr>
            </w:pPr>
            <w:r>
              <w:rPr>
                <w:sz w:val="21"/>
                <w:highlight w:val="none"/>
              </w:rPr>
              <w:t>招标代理服务费</w:t>
            </w:r>
          </w:p>
        </w:tc>
        <w:tc>
          <w:tcPr>
            <w:tcW w:w="7104" w:type="dxa"/>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sz w:val="21"/>
                <w:highlight w:val="none"/>
              </w:rPr>
              <w:t xml:space="preserve">1.本项目的招标代理服务费由各正式入库单位在领取入库通知书前一次性向招标代理机构交纳以下金额：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sz w:val="21"/>
                <w:highlight w:val="none"/>
              </w:rPr>
              <w:t>每家正式入库单位：￥1</w:t>
            </w:r>
            <w:r>
              <w:rPr>
                <w:rFonts w:hint="eastAsia"/>
                <w:sz w:val="21"/>
                <w:highlight w:val="none"/>
                <w:lang w:val="en-US" w:eastAsia="zh-CN"/>
              </w:rPr>
              <w:t>5</w:t>
            </w:r>
            <w:r>
              <w:rPr>
                <w:sz w:val="21"/>
                <w:highlight w:val="none"/>
              </w:rPr>
              <w:t>,</w:t>
            </w:r>
            <w:r>
              <w:rPr>
                <w:rFonts w:hint="eastAsia"/>
                <w:sz w:val="21"/>
                <w:highlight w:val="none"/>
                <w:lang w:val="en-US" w:eastAsia="zh-CN"/>
              </w:rPr>
              <w:t>00</w:t>
            </w:r>
            <w:r>
              <w:rPr>
                <w:sz w:val="21"/>
                <w:highlight w:val="none"/>
              </w:rPr>
              <w:t>0.00</w:t>
            </w:r>
            <w:r>
              <w:rPr>
                <w:rFonts w:hint="eastAsia"/>
                <w:sz w:val="21"/>
                <w:highlight w:val="none"/>
                <w:lang w:eastAsia="zh-CN"/>
              </w:rPr>
              <w:t>元</w:t>
            </w:r>
            <w:r>
              <w:rPr>
                <w:sz w:val="21"/>
                <w:highlight w:val="none"/>
              </w:rPr>
              <w:t>（大写：人民币</w:t>
            </w:r>
            <w:r>
              <w:rPr>
                <w:rFonts w:hint="eastAsia"/>
                <w:sz w:val="21"/>
                <w:highlight w:val="none"/>
                <w:lang w:eastAsia="zh-CN"/>
              </w:rPr>
              <w:t>壹万伍仟元整</w:t>
            </w:r>
            <w:r>
              <w:rPr>
                <w:sz w:val="21"/>
                <w:highlight w:val="none"/>
              </w:rPr>
              <w:t xml:space="preserve">） </w:t>
            </w:r>
          </w:p>
          <w:p>
            <w:pPr>
              <w:pStyle w:val="23"/>
              <w:keepNext w:val="0"/>
              <w:keepLines w:val="0"/>
              <w:pageBreakBefore w:val="0"/>
              <w:widowControl w:val="0"/>
              <w:numPr>
                <w:ilvl w:val="0"/>
                <w:numId w:val="1"/>
              </w:numPr>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sz w:val="21"/>
                <w:highlight w:val="none"/>
              </w:rPr>
              <w:t>向招标代理机构缴纳招标代理服务费可用转账等方式支付到以下账号：</w:t>
            </w:r>
          </w:p>
          <w:p>
            <w:pPr>
              <w:pStyle w:val="23"/>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55" w:leftChars="25" w:right="40" w:rightChars="0" w:firstLine="0" w:firstLineChars="0"/>
              <w:textAlignment w:val="auto"/>
              <w:rPr>
                <w:sz w:val="21"/>
                <w:highlight w:val="none"/>
              </w:rPr>
            </w:pPr>
            <w:r>
              <w:rPr>
                <w:sz w:val="21"/>
                <w:highlight w:val="none"/>
              </w:rPr>
              <w:t>账户：</w:t>
            </w:r>
            <w:r>
              <w:rPr>
                <w:rFonts w:hint="eastAsia"/>
                <w:sz w:val="21"/>
                <w:highlight w:val="none"/>
              </w:rPr>
              <w:t>中科高盛咨询集团有限公司广东分公司</w:t>
            </w:r>
            <w:r>
              <w:rPr>
                <w:sz w:val="21"/>
                <w:highlight w:val="none"/>
              </w:rPr>
              <w:t xml:space="preserve">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sz w:val="21"/>
                <w:highlight w:val="none"/>
              </w:rPr>
            </w:pPr>
            <w:r>
              <w:rPr>
                <w:sz w:val="21"/>
                <w:highlight w:val="none"/>
              </w:rPr>
              <w:t>账号：</w:t>
            </w:r>
            <w:r>
              <w:rPr>
                <w:rFonts w:hint="eastAsia"/>
                <w:sz w:val="21"/>
                <w:highlight w:val="none"/>
              </w:rPr>
              <w:t>3602015009201679628</w:t>
            </w:r>
            <w:r>
              <w:rPr>
                <w:sz w:val="21"/>
                <w:highlight w:val="none"/>
              </w:rPr>
              <w:t xml:space="preserve">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textAlignment w:val="auto"/>
              <w:rPr>
                <w:rFonts w:hint="default" w:eastAsia="宋体"/>
                <w:sz w:val="21"/>
                <w:highlight w:val="none"/>
                <w:lang w:val="en-US" w:eastAsia="zh-CN"/>
              </w:rPr>
            </w:pPr>
            <w:r>
              <w:rPr>
                <w:sz w:val="21"/>
                <w:highlight w:val="none"/>
              </w:rPr>
              <w:t>开户银行：</w:t>
            </w:r>
            <w:r>
              <w:rPr>
                <w:rFonts w:hint="eastAsia"/>
                <w:sz w:val="21"/>
                <w:highlight w:val="none"/>
              </w:rPr>
              <w:t>中国工商银行股份有限公司广州粤秀支行</w:t>
            </w:r>
            <w:r>
              <w:rPr>
                <w:sz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661" w:type="dxa"/>
            <w:vAlign w:val="center"/>
          </w:tcPr>
          <w:p>
            <w:pPr>
              <w:pStyle w:val="23"/>
              <w:spacing w:before="1"/>
              <w:ind w:left="141" w:right="21" w:firstLine="0" w:firstLineChars="0"/>
              <w:jc w:val="center"/>
              <w:rPr>
                <w:sz w:val="21"/>
                <w:highlight w:val="none"/>
              </w:rPr>
            </w:pPr>
            <w:r>
              <w:rPr>
                <w:sz w:val="21"/>
                <w:highlight w:val="none"/>
              </w:rPr>
              <w:t>8</w:t>
            </w:r>
          </w:p>
        </w:tc>
        <w:tc>
          <w:tcPr>
            <w:tcW w:w="1712" w:type="dxa"/>
            <w:vAlign w:val="center"/>
          </w:tcPr>
          <w:p>
            <w:pPr>
              <w:pStyle w:val="23"/>
              <w:ind w:left="145" w:right="40" w:firstLine="0" w:firstLineChars="0"/>
              <w:jc w:val="center"/>
              <w:rPr>
                <w:sz w:val="21"/>
                <w:highlight w:val="none"/>
              </w:rPr>
            </w:pPr>
            <w:r>
              <w:rPr>
                <w:sz w:val="21"/>
                <w:highlight w:val="none"/>
              </w:rPr>
              <w:t>投标保证金</w:t>
            </w:r>
          </w:p>
        </w:tc>
        <w:tc>
          <w:tcPr>
            <w:tcW w:w="7104" w:type="dxa"/>
            <w:vAlign w:val="center"/>
          </w:tcPr>
          <w:p>
            <w:pPr>
              <w:pStyle w:val="23"/>
              <w:keepNext w:val="0"/>
              <w:keepLines w:val="0"/>
              <w:pageBreakBefore w:val="0"/>
              <w:widowControl w:val="0"/>
              <w:numPr>
                <w:ilvl w:val="0"/>
                <w:numId w:val="2"/>
              </w:numPr>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rFonts w:hint="eastAsia"/>
                <w:sz w:val="21"/>
                <w:highlight w:val="none"/>
                <w:lang w:eastAsia="zh-CN"/>
              </w:rPr>
            </w:pPr>
            <w:r>
              <w:rPr>
                <w:rFonts w:hint="eastAsia"/>
                <w:sz w:val="21"/>
                <w:highlight w:val="none"/>
                <w:lang w:eastAsia="zh-CN"/>
              </w:rPr>
              <w:t>本项目投标保证金人民币</w:t>
            </w:r>
            <w:r>
              <w:rPr>
                <w:rFonts w:hint="eastAsia"/>
                <w:sz w:val="21"/>
                <w:highlight w:val="none"/>
                <w:u w:val="single"/>
                <w:lang w:val="en-US" w:eastAsia="zh-CN"/>
              </w:rPr>
              <w:t>10000</w:t>
            </w:r>
            <w:r>
              <w:rPr>
                <w:rFonts w:hint="eastAsia"/>
                <w:sz w:val="21"/>
                <w:highlight w:val="none"/>
                <w:lang w:val="en-US" w:eastAsia="zh-CN"/>
              </w:rPr>
              <w:t>元（壹万元整）</w:t>
            </w:r>
            <w:r>
              <w:rPr>
                <w:rFonts w:hint="eastAsia"/>
                <w:sz w:val="21"/>
                <w:highlight w:val="none"/>
                <w:lang w:eastAsia="zh-CN"/>
              </w:rPr>
              <w:t>。</w:t>
            </w:r>
          </w:p>
          <w:p>
            <w:pPr>
              <w:pStyle w:val="23"/>
              <w:keepNext w:val="0"/>
              <w:keepLines w:val="0"/>
              <w:pageBreakBefore w:val="0"/>
              <w:widowControl w:val="0"/>
              <w:numPr>
                <w:ilvl w:val="0"/>
                <w:numId w:val="2"/>
              </w:numPr>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rFonts w:hint="eastAsia"/>
                <w:sz w:val="21"/>
                <w:highlight w:val="none"/>
                <w:lang w:eastAsia="zh-CN"/>
              </w:rPr>
            </w:pPr>
            <w:r>
              <w:rPr>
                <w:rFonts w:hint="eastAsia"/>
                <w:sz w:val="21"/>
                <w:highlight w:val="none"/>
                <w:lang w:eastAsia="zh-CN"/>
              </w:rPr>
              <w:t>缴纳形式：投标保证金应以电汇、银行转帐、现金、银行汇票、银行本票、支票、保付支票、银行保函、担保公司担保书或同业担保书等形式，于投标截止时间前将投标保证金存到以下帐户，以实际到帐为准。供应商应按公开招标文件规定的金额在投标截止时间前交纳保证金，否则其投标无效。</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rFonts w:hint="eastAsia"/>
                <w:sz w:val="21"/>
                <w:highlight w:val="none"/>
                <w:lang w:val="en-US" w:eastAsia="zh-CN"/>
              </w:rPr>
            </w:pPr>
            <w:r>
              <w:rPr>
                <w:rFonts w:hint="eastAsia"/>
                <w:sz w:val="21"/>
                <w:highlight w:val="none"/>
                <w:lang w:val="en-US" w:eastAsia="zh-CN"/>
              </w:rPr>
              <w:t>3.保证金账户：</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rFonts w:hint="eastAsia"/>
                <w:sz w:val="21"/>
                <w:highlight w:val="none"/>
              </w:rPr>
            </w:pPr>
            <w:r>
              <w:rPr>
                <w:rFonts w:hint="eastAsia"/>
                <w:sz w:val="21"/>
                <w:highlight w:val="none"/>
                <w:lang w:eastAsia="zh-CN"/>
              </w:rPr>
              <w:t>账户名称：</w:t>
            </w:r>
            <w:r>
              <w:rPr>
                <w:rFonts w:hint="eastAsia"/>
                <w:sz w:val="21"/>
                <w:highlight w:val="none"/>
              </w:rPr>
              <w:t>中科高盛咨询集团有限公司</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rFonts w:hint="eastAsia"/>
                <w:sz w:val="21"/>
                <w:highlight w:val="none"/>
              </w:rPr>
            </w:pPr>
            <w:r>
              <w:rPr>
                <w:rFonts w:hint="eastAsia"/>
                <w:sz w:val="21"/>
                <w:highlight w:val="none"/>
                <w:lang w:eastAsia="zh-CN"/>
              </w:rPr>
              <w:t>账号：</w:t>
            </w:r>
            <w:r>
              <w:rPr>
                <w:rFonts w:hint="eastAsia"/>
                <w:sz w:val="21"/>
                <w:highlight w:val="none"/>
              </w:rPr>
              <w:t>9902 0002 7109 3627</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rFonts w:hint="eastAsia"/>
                <w:sz w:val="21"/>
                <w:highlight w:val="none"/>
              </w:rPr>
            </w:pPr>
            <w:r>
              <w:rPr>
                <w:rFonts w:hint="eastAsia"/>
                <w:sz w:val="21"/>
                <w:highlight w:val="none"/>
                <w:lang w:eastAsia="zh-CN"/>
              </w:rPr>
              <w:t>开户行：</w:t>
            </w:r>
            <w:r>
              <w:rPr>
                <w:rFonts w:hint="eastAsia"/>
                <w:sz w:val="21"/>
                <w:highlight w:val="none"/>
              </w:rPr>
              <w:t>民生银行长沙芙蓉广场支行</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40" w:firstLine="0" w:firstLineChars="0"/>
              <w:jc w:val="both"/>
              <w:textAlignment w:val="auto"/>
              <w:rPr>
                <w:rFonts w:hint="eastAsia"/>
                <w:sz w:val="21"/>
                <w:highlight w:val="none"/>
                <w:lang w:eastAsia="zh-CN"/>
              </w:rPr>
            </w:pPr>
            <w:r>
              <w:rPr>
                <w:rFonts w:hint="eastAsia"/>
                <w:sz w:val="21"/>
                <w:highlight w:val="none"/>
                <w:lang w:eastAsia="zh-CN"/>
              </w:rPr>
              <w:t>行号：</w:t>
            </w:r>
            <w:r>
              <w:rPr>
                <w:rFonts w:hint="eastAsia"/>
                <w:sz w:val="21"/>
                <w:highlight w:val="none"/>
              </w:rPr>
              <w:t>3055 5103 1105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661" w:type="dxa"/>
            <w:vAlign w:val="center"/>
          </w:tcPr>
          <w:p>
            <w:pPr>
              <w:pStyle w:val="23"/>
              <w:spacing w:before="131"/>
              <w:ind w:left="0" w:leftChars="0" w:right="157" w:rightChars="0" w:firstLine="0" w:firstLineChars="0"/>
              <w:jc w:val="center"/>
              <w:rPr>
                <w:sz w:val="21"/>
                <w:highlight w:val="none"/>
              </w:rPr>
            </w:pPr>
            <w:r>
              <w:rPr>
                <w:sz w:val="21"/>
                <w:highlight w:val="none"/>
              </w:rPr>
              <w:t>9</w:t>
            </w:r>
          </w:p>
        </w:tc>
        <w:tc>
          <w:tcPr>
            <w:tcW w:w="1712"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47" w:leftChars="0" w:right="15" w:rightChars="7" w:firstLine="0" w:firstLineChars="0"/>
              <w:jc w:val="center"/>
              <w:textAlignment w:val="auto"/>
              <w:rPr>
                <w:sz w:val="21"/>
                <w:highlight w:val="none"/>
              </w:rPr>
            </w:pPr>
            <w:r>
              <w:rPr>
                <w:sz w:val="21"/>
                <w:highlight w:val="none"/>
              </w:rPr>
              <w:t>履约保证金</w:t>
            </w:r>
          </w:p>
        </w:tc>
        <w:tc>
          <w:tcPr>
            <w:tcW w:w="7104" w:type="dxa"/>
            <w:vAlign w:val="top"/>
          </w:tcPr>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55" w:rightChars="25" w:firstLine="0" w:firstLineChars="0"/>
              <w:textAlignment w:val="auto"/>
              <w:rPr>
                <w:rFonts w:hint="eastAsia"/>
                <w:sz w:val="21"/>
                <w:highlight w:val="none"/>
              </w:rPr>
            </w:pPr>
            <w:r>
              <w:rPr>
                <w:rFonts w:hint="eastAsia"/>
                <w:sz w:val="21"/>
                <w:highlight w:val="none"/>
              </w:rPr>
              <w:t xml:space="preserve">入库单位须于收到入选通知书后十天内向招标人提交人民币 2 万元履约保证金。 </w:t>
            </w:r>
          </w:p>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55" w:rightChars="25" w:firstLine="0" w:firstLineChars="0"/>
              <w:textAlignment w:val="auto"/>
              <w:rPr>
                <w:rFonts w:hint="eastAsia"/>
                <w:sz w:val="21"/>
                <w:highlight w:val="none"/>
              </w:rPr>
            </w:pPr>
            <w:r>
              <w:rPr>
                <w:rFonts w:hint="eastAsia"/>
                <w:sz w:val="21"/>
                <w:highlight w:val="none"/>
              </w:rPr>
              <w:t>履约保证金用于按合同补偿招标</w:t>
            </w:r>
            <w:r>
              <w:rPr>
                <w:rFonts w:hint="eastAsia"/>
                <w:sz w:val="21"/>
                <w:highlight w:val="none"/>
                <w:lang w:eastAsia="zh-CN"/>
              </w:rPr>
              <w:t>招标人</w:t>
            </w:r>
            <w:r>
              <w:rPr>
                <w:rFonts w:hint="eastAsia"/>
                <w:sz w:val="21"/>
                <w:highlight w:val="none"/>
              </w:rPr>
              <w:t xml:space="preserve">因入库单位不能完成其合同义务而蒙受的损失。凡因正式入库单位责任，使招标人解除合同的履约保证金不向入库单位退还。 </w:t>
            </w:r>
          </w:p>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55" w:rightChars="25" w:firstLine="0" w:firstLineChars="0"/>
              <w:textAlignment w:val="auto"/>
              <w:rPr>
                <w:rFonts w:hint="eastAsia"/>
                <w:sz w:val="21"/>
                <w:highlight w:val="none"/>
              </w:rPr>
            </w:pPr>
            <w:r>
              <w:rPr>
                <w:rFonts w:hint="eastAsia"/>
                <w:sz w:val="21"/>
                <w:highlight w:val="none"/>
              </w:rPr>
              <w:t>入库单位在规定期间内拒绝向招标人提交履约保证金，其中标资格随之终止。在入库单位完成其合同义务，在合同期间内没有违约行为，则该</w:t>
            </w:r>
          </w:p>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55" w:rightChars="25" w:firstLine="0" w:firstLineChars="0"/>
              <w:textAlignment w:val="auto"/>
              <w:rPr>
                <w:rFonts w:hint="eastAsia"/>
                <w:sz w:val="21"/>
                <w:highlight w:val="none"/>
                <w:lang w:eastAsia="zh-CN"/>
              </w:rPr>
            </w:pPr>
            <w:r>
              <w:rPr>
                <w:rFonts w:hint="eastAsia"/>
                <w:sz w:val="21"/>
                <w:highlight w:val="none"/>
              </w:rPr>
              <w:t xml:space="preserve">履约保证金在合同服务期限满后 15 个工作日内无息退还全额履约保证金。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661" w:type="dxa"/>
            <w:vAlign w:val="center"/>
          </w:tcPr>
          <w:p>
            <w:pPr>
              <w:pStyle w:val="23"/>
              <w:ind w:left="0" w:leftChars="0" w:right="112" w:rightChars="0" w:firstLine="0" w:firstLineChars="0"/>
              <w:jc w:val="center"/>
              <w:rPr>
                <w:sz w:val="21"/>
                <w:highlight w:val="none"/>
              </w:rPr>
            </w:pPr>
            <w:r>
              <w:rPr>
                <w:sz w:val="21"/>
                <w:highlight w:val="none"/>
              </w:rPr>
              <w:t>10</w:t>
            </w:r>
          </w:p>
        </w:tc>
        <w:tc>
          <w:tcPr>
            <w:tcW w:w="1712"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15" w:rightChars="7" w:firstLine="0" w:firstLineChars="0"/>
              <w:jc w:val="center"/>
              <w:textAlignment w:val="auto"/>
              <w:rPr>
                <w:sz w:val="21"/>
                <w:highlight w:val="none"/>
              </w:rPr>
            </w:pPr>
            <w:r>
              <w:rPr>
                <w:sz w:val="21"/>
                <w:highlight w:val="none"/>
              </w:rPr>
              <w:t>投标有效期</w:t>
            </w:r>
          </w:p>
        </w:tc>
        <w:tc>
          <w:tcPr>
            <w:tcW w:w="7104" w:type="dxa"/>
            <w:vAlign w:val="top"/>
          </w:tcPr>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55" w:rightChars="25" w:firstLine="0" w:firstLineChars="0"/>
              <w:textAlignment w:val="auto"/>
              <w:rPr>
                <w:rFonts w:hint="eastAsia"/>
                <w:sz w:val="21"/>
                <w:highlight w:val="none"/>
              </w:rPr>
            </w:pPr>
            <w:r>
              <w:rPr>
                <w:rFonts w:hint="eastAsia"/>
                <w:sz w:val="21"/>
                <w:highlight w:val="none"/>
              </w:rPr>
              <w:t>1.投标有效期指从投标文件递交截止投标日起 90 个日历天。在此期间，所</w:t>
            </w:r>
          </w:p>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55" w:rightChars="25" w:firstLine="0" w:firstLineChars="0"/>
              <w:textAlignment w:val="auto"/>
              <w:rPr>
                <w:rFonts w:hint="eastAsia"/>
                <w:sz w:val="21"/>
                <w:highlight w:val="none"/>
                <w:lang w:eastAsia="zh-CN"/>
              </w:rPr>
            </w:pPr>
            <w:r>
              <w:rPr>
                <w:rFonts w:hint="eastAsia"/>
                <w:sz w:val="21"/>
                <w:highlight w:val="none"/>
              </w:rPr>
              <w:t xml:space="preserve">有的投标文件均保持有效。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661" w:type="dxa"/>
            <w:vAlign w:val="center"/>
          </w:tcPr>
          <w:p>
            <w:pPr>
              <w:pStyle w:val="23"/>
              <w:ind w:right="112" w:firstLine="0" w:firstLineChars="0"/>
              <w:jc w:val="center"/>
              <w:rPr>
                <w:sz w:val="21"/>
                <w:highlight w:val="none"/>
              </w:rPr>
            </w:pPr>
            <w:r>
              <w:rPr>
                <w:sz w:val="21"/>
                <w:highlight w:val="none"/>
              </w:rPr>
              <w:t>11</w:t>
            </w:r>
          </w:p>
        </w:tc>
        <w:tc>
          <w:tcPr>
            <w:tcW w:w="1712"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15" w:rightChars="7" w:firstLine="0" w:firstLineChars="0"/>
              <w:jc w:val="center"/>
              <w:textAlignment w:val="auto"/>
              <w:rPr>
                <w:sz w:val="21"/>
                <w:highlight w:val="none"/>
              </w:rPr>
            </w:pPr>
            <w:r>
              <w:rPr>
                <w:sz w:val="21"/>
                <w:highlight w:val="none"/>
              </w:rPr>
              <w:t>投标文件数量</w:t>
            </w:r>
          </w:p>
        </w:tc>
        <w:tc>
          <w:tcPr>
            <w:tcW w:w="7104" w:type="dxa"/>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sz w:val="21"/>
                <w:highlight w:val="none"/>
              </w:rPr>
            </w:pPr>
            <w:r>
              <w:rPr>
                <w:sz w:val="21"/>
                <w:highlight w:val="none"/>
              </w:rPr>
              <w:t xml:space="preserve"> </w:t>
            </w:r>
            <w:r>
              <w:rPr>
                <w:rFonts w:hint="eastAsia"/>
                <w:sz w:val="21"/>
                <w:highlight w:val="none"/>
              </w:rPr>
              <w:t>投标文件正本 1 份、副本 5 份、唱标信封 1 份（内含开标一览表 1 份、含Word 或 PDF 格式的投标文件电子文件（使用光盘或 U 盘）1 份、退保证金说明、投标保证金缴纳证明及开票资料说明函）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9" w:hRule="atLeast"/>
        </w:trPr>
        <w:tc>
          <w:tcPr>
            <w:tcW w:w="661" w:type="dxa"/>
            <w:vAlign w:val="center"/>
          </w:tcPr>
          <w:p>
            <w:pPr>
              <w:pStyle w:val="23"/>
              <w:spacing w:line="240" w:lineRule="exact"/>
              <w:ind w:right="112" w:firstLine="0" w:firstLineChars="0"/>
              <w:jc w:val="center"/>
              <w:rPr>
                <w:sz w:val="21"/>
                <w:highlight w:val="none"/>
              </w:rPr>
            </w:pPr>
            <w:r>
              <w:rPr>
                <w:sz w:val="21"/>
                <w:highlight w:val="none"/>
              </w:rPr>
              <w:t>12</w:t>
            </w:r>
          </w:p>
        </w:tc>
        <w:tc>
          <w:tcPr>
            <w:tcW w:w="1712" w:type="dxa"/>
            <w:tcBorders>
              <w:bottom w:val="nil"/>
            </w:tcBorders>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15" w:rightChars="7" w:firstLine="0" w:firstLineChars="0"/>
              <w:jc w:val="center"/>
              <w:textAlignment w:val="auto"/>
              <w:rPr>
                <w:sz w:val="21"/>
                <w:highlight w:val="none"/>
              </w:rPr>
            </w:pPr>
            <w:r>
              <w:rPr>
                <w:sz w:val="21"/>
                <w:highlight w:val="none"/>
              </w:rPr>
              <w:t>投标文件递交地</w:t>
            </w:r>
          </w:p>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15" w:rightChars="7" w:firstLine="0" w:firstLineChars="0"/>
              <w:jc w:val="center"/>
              <w:textAlignment w:val="auto"/>
              <w:rPr>
                <w:sz w:val="21"/>
                <w:highlight w:val="none"/>
              </w:rPr>
            </w:pPr>
            <w:r>
              <w:rPr>
                <w:sz w:val="21"/>
                <w:highlight w:val="none"/>
              </w:rPr>
              <w:t>点及截止时间</w:t>
            </w:r>
          </w:p>
        </w:tc>
        <w:tc>
          <w:tcPr>
            <w:tcW w:w="7104" w:type="dxa"/>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b/>
                <w:sz w:val="21"/>
                <w:highlight w:val="none"/>
              </w:rPr>
            </w:pPr>
            <w:r>
              <w:rPr>
                <w:b/>
                <w:sz w:val="21"/>
                <w:highlight w:val="none"/>
              </w:rPr>
              <w:t>收件人：</w:t>
            </w:r>
            <w:r>
              <w:rPr>
                <w:rFonts w:hint="eastAsia"/>
                <w:b/>
                <w:sz w:val="21"/>
                <w:highlight w:val="none"/>
                <w:u w:val="single"/>
                <w:lang w:val="en-US" w:eastAsia="zh-CN"/>
              </w:rPr>
              <w:t>中科高盛咨询集团有限公司</w:t>
            </w:r>
            <w:r>
              <w:rPr>
                <w:b/>
                <w:w w:val="99"/>
                <w:sz w:val="21"/>
                <w:highlight w:val="none"/>
              </w:rPr>
              <w:t xml:space="preserve">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b/>
                <w:sz w:val="21"/>
                <w:highlight w:val="none"/>
              </w:rPr>
            </w:pPr>
            <w:r>
              <w:rPr>
                <w:b/>
                <w:spacing w:val="-3"/>
                <w:sz w:val="21"/>
                <w:highlight w:val="none"/>
              </w:rPr>
              <w:t>递交地点：</w:t>
            </w:r>
            <w:r>
              <w:rPr>
                <w:rFonts w:hint="eastAsia"/>
                <w:b/>
                <w:spacing w:val="-3"/>
                <w:sz w:val="21"/>
                <w:highlight w:val="none"/>
                <w:lang w:eastAsia="zh-CN"/>
              </w:rPr>
              <w:t>广州市白云区景泰街大金钟路31号2楼西边</w:t>
            </w:r>
            <w:r>
              <w:rPr>
                <w:b/>
                <w:bCs w:val="0"/>
                <w:sz w:val="21"/>
                <w:highlight w:val="none"/>
              </w:rPr>
              <w:t>（</w:t>
            </w:r>
            <w:r>
              <w:rPr>
                <w:rFonts w:hint="eastAsia"/>
                <w:b/>
                <w:bCs w:val="0"/>
                <w:sz w:val="22"/>
                <w:szCs w:val="22"/>
                <w:highlight w:val="none"/>
                <w:lang w:eastAsia="zh-CN"/>
              </w:rPr>
              <w:t>中科高盛咨询集团有限公司招标经营部）</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b/>
                <w:sz w:val="21"/>
                <w:highlight w:val="none"/>
              </w:rPr>
            </w:pPr>
            <w:r>
              <w:rPr>
                <w:b/>
                <w:sz w:val="21"/>
                <w:highlight w:val="none"/>
              </w:rPr>
              <w:t>递交时间：20</w:t>
            </w:r>
            <w:r>
              <w:rPr>
                <w:rFonts w:hint="eastAsia"/>
                <w:b/>
                <w:sz w:val="21"/>
                <w:highlight w:val="none"/>
                <w:lang w:val="en-US" w:eastAsia="zh-CN"/>
              </w:rPr>
              <w:t>21</w:t>
            </w:r>
            <w:r>
              <w:rPr>
                <w:b/>
                <w:sz w:val="21"/>
                <w:highlight w:val="none"/>
              </w:rPr>
              <w:t>年</w:t>
            </w:r>
            <w:r>
              <w:rPr>
                <w:rFonts w:hint="eastAsia"/>
                <w:b/>
                <w:sz w:val="21"/>
                <w:highlight w:val="none"/>
                <w:lang w:val="en-US" w:eastAsia="zh-CN"/>
              </w:rPr>
              <w:t>10</w:t>
            </w:r>
            <w:r>
              <w:rPr>
                <w:b/>
                <w:sz w:val="21"/>
                <w:highlight w:val="none"/>
              </w:rPr>
              <w:t>月</w:t>
            </w:r>
            <w:r>
              <w:rPr>
                <w:rFonts w:hint="eastAsia"/>
                <w:b/>
                <w:sz w:val="21"/>
                <w:highlight w:val="none"/>
                <w:lang w:val="en-US" w:eastAsia="zh-CN"/>
              </w:rPr>
              <w:t>19</w:t>
            </w:r>
            <w:r>
              <w:rPr>
                <w:b/>
                <w:sz w:val="21"/>
                <w:highlight w:val="none"/>
              </w:rPr>
              <w:t>日 09 时 00 分至 20</w:t>
            </w:r>
            <w:r>
              <w:rPr>
                <w:rFonts w:hint="eastAsia"/>
                <w:b/>
                <w:sz w:val="21"/>
                <w:highlight w:val="none"/>
                <w:lang w:val="en-US" w:eastAsia="zh-CN"/>
              </w:rPr>
              <w:t>21</w:t>
            </w:r>
            <w:r>
              <w:rPr>
                <w:b/>
                <w:sz w:val="21"/>
                <w:highlight w:val="none"/>
              </w:rPr>
              <w:t>年</w:t>
            </w:r>
            <w:r>
              <w:rPr>
                <w:rFonts w:hint="eastAsia"/>
                <w:b/>
                <w:sz w:val="21"/>
                <w:highlight w:val="none"/>
                <w:lang w:val="en-US" w:eastAsia="zh-CN"/>
              </w:rPr>
              <w:t>10</w:t>
            </w:r>
            <w:r>
              <w:rPr>
                <w:b/>
                <w:sz w:val="21"/>
                <w:highlight w:val="none"/>
              </w:rPr>
              <w:t>月</w:t>
            </w:r>
            <w:r>
              <w:rPr>
                <w:rFonts w:hint="eastAsia"/>
                <w:b/>
                <w:sz w:val="21"/>
                <w:highlight w:val="none"/>
                <w:lang w:val="en-US" w:eastAsia="zh-CN"/>
              </w:rPr>
              <w:t>19</w:t>
            </w:r>
            <w:r>
              <w:rPr>
                <w:b/>
                <w:sz w:val="21"/>
                <w:highlight w:val="none"/>
              </w:rPr>
              <w:t>日 09 时 30 分；</w:t>
            </w:r>
            <w:r>
              <w:rPr>
                <w:b/>
                <w:w w:val="99"/>
                <w:sz w:val="21"/>
                <w:highlight w:val="none"/>
              </w:rPr>
              <w:t xml:space="preserve">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b/>
                <w:sz w:val="21"/>
                <w:highlight w:val="none"/>
              </w:rPr>
            </w:pPr>
            <w:r>
              <w:rPr>
                <w:b/>
                <w:sz w:val="21"/>
                <w:highlight w:val="none"/>
              </w:rPr>
              <w:t>截止时间：20</w:t>
            </w:r>
            <w:r>
              <w:rPr>
                <w:rFonts w:hint="eastAsia"/>
                <w:b/>
                <w:sz w:val="21"/>
                <w:highlight w:val="none"/>
                <w:lang w:val="en-US" w:eastAsia="zh-CN"/>
              </w:rPr>
              <w:t>21</w:t>
            </w:r>
            <w:r>
              <w:rPr>
                <w:b/>
                <w:sz w:val="21"/>
                <w:highlight w:val="none"/>
              </w:rPr>
              <w:t xml:space="preserve"> 年</w:t>
            </w:r>
            <w:r>
              <w:rPr>
                <w:rFonts w:hint="eastAsia"/>
                <w:b/>
                <w:sz w:val="21"/>
                <w:highlight w:val="none"/>
                <w:lang w:val="en-US" w:eastAsia="zh-CN"/>
              </w:rPr>
              <w:t>10</w:t>
            </w:r>
            <w:r>
              <w:rPr>
                <w:b/>
                <w:sz w:val="21"/>
                <w:highlight w:val="none"/>
              </w:rPr>
              <w:t>月</w:t>
            </w:r>
            <w:r>
              <w:rPr>
                <w:rFonts w:hint="eastAsia"/>
                <w:b/>
                <w:sz w:val="21"/>
                <w:highlight w:val="none"/>
                <w:lang w:val="en-US" w:eastAsia="zh-CN"/>
              </w:rPr>
              <w:t>19</w:t>
            </w:r>
            <w:r>
              <w:rPr>
                <w:b/>
                <w:sz w:val="21"/>
                <w:highlight w:val="none"/>
              </w:rPr>
              <w:t>日 09 时 30 分；</w:t>
            </w:r>
            <w:r>
              <w:rPr>
                <w:sz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661" w:type="dxa"/>
            <w:vAlign w:val="center"/>
          </w:tcPr>
          <w:p>
            <w:pPr>
              <w:pStyle w:val="23"/>
              <w:spacing w:before="105"/>
              <w:ind w:right="112" w:firstLine="0" w:firstLineChars="0"/>
              <w:jc w:val="center"/>
              <w:rPr>
                <w:sz w:val="21"/>
                <w:highlight w:val="none"/>
              </w:rPr>
            </w:pPr>
            <w:r>
              <w:rPr>
                <w:sz w:val="21"/>
                <w:highlight w:val="none"/>
              </w:rPr>
              <w:t>13</w:t>
            </w:r>
          </w:p>
        </w:tc>
        <w:tc>
          <w:tcPr>
            <w:tcW w:w="1712"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55" w:leftChars="25" w:right="15" w:rightChars="7" w:firstLine="0" w:firstLineChars="0"/>
              <w:jc w:val="center"/>
              <w:textAlignment w:val="auto"/>
              <w:rPr>
                <w:sz w:val="21"/>
                <w:highlight w:val="none"/>
              </w:rPr>
            </w:pPr>
            <w:r>
              <w:rPr>
                <w:sz w:val="21"/>
                <w:highlight w:val="none"/>
              </w:rPr>
              <w:t>开标</w:t>
            </w:r>
          </w:p>
        </w:tc>
        <w:tc>
          <w:tcPr>
            <w:tcW w:w="7104" w:type="dxa"/>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sz w:val="21"/>
                <w:highlight w:val="none"/>
              </w:rPr>
            </w:pPr>
            <w:r>
              <w:rPr>
                <w:sz w:val="21"/>
                <w:highlight w:val="none"/>
              </w:rPr>
              <w:t>开标时间：20</w:t>
            </w:r>
            <w:r>
              <w:rPr>
                <w:rFonts w:hint="eastAsia"/>
                <w:sz w:val="21"/>
                <w:highlight w:val="none"/>
                <w:lang w:val="en-US" w:eastAsia="zh-CN"/>
              </w:rPr>
              <w:t>21</w:t>
            </w:r>
            <w:r>
              <w:rPr>
                <w:sz w:val="21"/>
                <w:highlight w:val="none"/>
              </w:rPr>
              <w:t xml:space="preserve"> 年</w:t>
            </w:r>
            <w:r>
              <w:rPr>
                <w:rFonts w:hint="eastAsia"/>
                <w:sz w:val="21"/>
                <w:highlight w:val="none"/>
                <w:lang w:val="en-US" w:eastAsia="zh-CN"/>
              </w:rPr>
              <w:t>10</w:t>
            </w:r>
            <w:r>
              <w:rPr>
                <w:sz w:val="21"/>
                <w:highlight w:val="none"/>
              </w:rPr>
              <w:t>月</w:t>
            </w:r>
            <w:r>
              <w:rPr>
                <w:rFonts w:hint="eastAsia"/>
                <w:sz w:val="21"/>
                <w:highlight w:val="none"/>
                <w:lang w:val="en-US" w:eastAsia="zh-CN"/>
              </w:rPr>
              <w:t>19</w:t>
            </w:r>
            <w:r>
              <w:rPr>
                <w:sz w:val="21"/>
                <w:highlight w:val="none"/>
              </w:rPr>
              <w:t xml:space="preserve">日 09 时 30 分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sz w:val="21"/>
                <w:highlight w:val="none"/>
              </w:rPr>
            </w:pPr>
            <w:r>
              <w:rPr>
                <w:spacing w:val="-3"/>
                <w:sz w:val="21"/>
                <w:highlight w:val="none"/>
              </w:rPr>
              <w:t>地点：</w:t>
            </w:r>
            <w:r>
              <w:rPr>
                <w:rFonts w:hint="eastAsia"/>
                <w:spacing w:val="-3"/>
                <w:sz w:val="21"/>
                <w:highlight w:val="none"/>
                <w:lang w:eastAsia="zh-CN"/>
              </w:rPr>
              <w:t>广州市白云区景泰街大金钟路31号2楼西边</w:t>
            </w:r>
            <w:r>
              <w:rPr>
                <w:spacing w:val="-3"/>
                <w:sz w:val="21"/>
                <w:highlight w:val="none"/>
              </w:rPr>
              <w:t>（</w:t>
            </w:r>
            <w:r>
              <w:rPr>
                <w:rFonts w:hint="eastAsia"/>
                <w:spacing w:val="-3"/>
                <w:sz w:val="21"/>
                <w:highlight w:val="none"/>
                <w:lang w:eastAsia="zh-CN"/>
              </w:rPr>
              <w:t>中科高盛咨询集团有限公司招标经营部）</w:t>
            </w:r>
            <w:r>
              <w:rPr>
                <w:sz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661" w:type="dxa"/>
            <w:vAlign w:val="center"/>
          </w:tcPr>
          <w:p>
            <w:pPr>
              <w:pStyle w:val="23"/>
              <w:spacing w:before="15"/>
              <w:ind w:left="0" w:leftChars="0" w:right="112" w:rightChars="0" w:firstLine="0" w:firstLineChars="0"/>
              <w:jc w:val="center"/>
              <w:rPr>
                <w:sz w:val="21"/>
                <w:highlight w:val="none"/>
              </w:rPr>
            </w:pPr>
            <w:r>
              <w:rPr>
                <w:sz w:val="21"/>
                <w:highlight w:val="none"/>
              </w:rPr>
              <w:t>14</w:t>
            </w:r>
          </w:p>
        </w:tc>
        <w:tc>
          <w:tcPr>
            <w:tcW w:w="1712" w:type="dxa"/>
            <w:vAlign w:val="center"/>
          </w:tcPr>
          <w:p>
            <w:pPr>
              <w:pStyle w:val="23"/>
              <w:spacing w:before="15"/>
              <w:ind w:left="145" w:leftChars="0" w:right="40" w:rightChars="0" w:firstLine="0" w:firstLineChars="0"/>
              <w:jc w:val="center"/>
              <w:rPr>
                <w:sz w:val="21"/>
                <w:highlight w:val="none"/>
              </w:rPr>
            </w:pPr>
            <w:r>
              <w:rPr>
                <w:b/>
                <w:sz w:val="21"/>
                <w:highlight w:val="none"/>
              </w:rPr>
              <w:t>评标办法</w:t>
            </w:r>
          </w:p>
        </w:tc>
        <w:tc>
          <w:tcPr>
            <w:tcW w:w="71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jc w:val="both"/>
              <w:textAlignment w:val="auto"/>
              <w:rPr>
                <w:spacing w:val="-3"/>
                <w:sz w:val="21"/>
                <w:highlight w:val="none"/>
              </w:rPr>
            </w:pPr>
            <w:r>
              <w:rPr>
                <w:b/>
                <w:sz w:val="21"/>
                <w:highlight w:val="none"/>
              </w:rPr>
              <w:t>综合评审法。</w:t>
            </w:r>
            <w:r>
              <w:rPr>
                <w:b/>
                <w:w w:val="99"/>
                <w:sz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661" w:type="dxa"/>
            <w:vAlign w:val="center"/>
          </w:tcPr>
          <w:p>
            <w:pPr>
              <w:pStyle w:val="23"/>
              <w:ind w:left="0" w:leftChars="0" w:right="112" w:rightChars="0" w:firstLine="0" w:firstLineChars="0"/>
              <w:jc w:val="center"/>
              <w:rPr>
                <w:sz w:val="21"/>
                <w:highlight w:val="none"/>
              </w:rPr>
            </w:pPr>
            <w:r>
              <w:rPr>
                <w:sz w:val="21"/>
                <w:highlight w:val="none"/>
              </w:rPr>
              <w:t>15</w:t>
            </w:r>
          </w:p>
        </w:tc>
        <w:tc>
          <w:tcPr>
            <w:tcW w:w="1712" w:type="dxa"/>
            <w:vAlign w:val="center"/>
          </w:tcPr>
          <w:p>
            <w:pPr>
              <w:pStyle w:val="23"/>
              <w:ind w:left="145" w:leftChars="0" w:right="40" w:rightChars="0" w:firstLine="0" w:firstLineChars="0"/>
              <w:jc w:val="center"/>
              <w:rPr>
                <w:b/>
                <w:sz w:val="21"/>
                <w:highlight w:val="none"/>
              </w:rPr>
            </w:pPr>
            <w:r>
              <w:rPr>
                <w:sz w:val="21"/>
                <w:highlight w:val="none"/>
              </w:rPr>
              <w:t>废标情形</w:t>
            </w:r>
          </w:p>
        </w:tc>
        <w:tc>
          <w:tcPr>
            <w:tcW w:w="7104" w:type="dxa"/>
            <w:vAlign w:val="top"/>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sz w:val="21"/>
                <w:highlight w:val="none"/>
              </w:rPr>
            </w:pPr>
            <w:r>
              <w:rPr>
                <w:sz w:val="21"/>
                <w:highlight w:val="none"/>
              </w:rPr>
              <w:t xml:space="preserve">投标人存在以下情形的，评标委员会将给予废标处理：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jc w:val="both"/>
              <w:textAlignment w:val="auto"/>
              <w:rPr>
                <w:sz w:val="21"/>
                <w:highlight w:val="none"/>
              </w:rPr>
            </w:pPr>
            <w:r>
              <w:rPr>
                <w:sz w:val="21"/>
                <w:highlight w:val="none"/>
              </w:rPr>
              <w:t xml:space="preserve">（1）在确定中标人之前，投标人试图在投标文件审查、澄清、比较和评价时对评标委员会、招标人和招标代理机构施加任何影响都可能导致其投标无效；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jc w:val="both"/>
              <w:textAlignment w:val="auto"/>
              <w:rPr>
                <w:sz w:val="21"/>
                <w:highlight w:val="none"/>
              </w:rPr>
            </w:pPr>
            <w:r>
              <w:rPr>
                <w:sz w:val="21"/>
                <w:highlight w:val="none"/>
              </w:rPr>
              <w:t xml:space="preserve">（2）投标人没有按照招标文件的要求提交全部资料，或者投标文件没有对招标文件在各方面做出实质性响应是投标人的风险，有可能导致其投标被拒绝，或被认定为无效投标或被确定为投标无效；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jc w:val="both"/>
              <w:textAlignment w:val="auto"/>
              <w:rPr>
                <w:sz w:val="21"/>
                <w:highlight w:val="none"/>
              </w:rPr>
            </w:pPr>
            <w:r>
              <w:rPr>
                <w:sz w:val="21"/>
                <w:highlight w:val="none"/>
              </w:rPr>
              <w:t xml:space="preserve">（3）投标人须对本项目以项目为单位整体投标，任何只对项目内的其中一部分标的进行的投标都被视为无效投标或被确定为投标无效；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sz w:val="21"/>
                <w:highlight w:val="none"/>
              </w:rPr>
            </w:pPr>
            <w:r>
              <w:rPr>
                <w:sz w:val="21"/>
                <w:highlight w:val="none"/>
              </w:rPr>
              <w:t xml:space="preserve">（4）只允许投标人有一个投标方案，否则将被视为无效投标；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jc w:val="both"/>
              <w:textAlignment w:val="auto"/>
              <w:rPr>
                <w:sz w:val="21"/>
                <w:highlight w:val="none"/>
              </w:rPr>
            </w:pPr>
            <w:r>
              <w:rPr>
                <w:sz w:val="21"/>
                <w:highlight w:val="none"/>
              </w:rPr>
              <w:t xml:space="preserve">（5）投标人未按照招标文件要求提交投标保证金的，投标无效。投标人应按招标文件规定的金额和期限交纳投标保证金，投标保证金作为投标文件的组成部分。投标人与交款人名称必须一致，非投标人缴纳的投标保证金无效；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jc w:val="both"/>
              <w:textAlignment w:val="auto"/>
              <w:rPr>
                <w:sz w:val="21"/>
                <w:highlight w:val="none"/>
              </w:rPr>
            </w:pPr>
            <w:r>
              <w:rPr>
                <w:sz w:val="21"/>
                <w:highlight w:val="none"/>
              </w:rPr>
              <w:t xml:space="preserve">（6）超过投标截止时间后的投标为无效投标，招标代理机构将拒收；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55" w:leftChars="25" w:right="55" w:rightChars="25" w:firstLine="0" w:firstLineChars="0"/>
              <w:textAlignment w:val="auto"/>
              <w:rPr>
                <w:b/>
                <w:sz w:val="21"/>
                <w:highlight w:val="none"/>
              </w:rPr>
            </w:pPr>
            <w:r>
              <w:rPr>
                <w:sz w:val="21"/>
                <w:highlight w:val="none"/>
              </w:rPr>
              <w:t>（7）出现法律、法规、规章规定属于投标无效的其他情形。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661" w:type="dxa"/>
            <w:vAlign w:val="center"/>
          </w:tcPr>
          <w:p>
            <w:pPr>
              <w:pStyle w:val="23"/>
              <w:ind w:left="0" w:leftChars="0" w:right="112" w:rightChars="0" w:firstLine="0" w:firstLineChars="0"/>
              <w:jc w:val="center"/>
              <w:rPr>
                <w:sz w:val="21"/>
                <w:highlight w:val="none"/>
              </w:rPr>
            </w:pPr>
            <w:r>
              <w:rPr>
                <w:sz w:val="21"/>
                <w:highlight w:val="none"/>
              </w:rPr>
              <w:t>16</w:t>
            </w:r>
          </w:p>
        </w:tc>
        <w:tc>
          <w:tcPr>
            <w:tcW w:w="1712" w:type="dxa"/>
            <w:vAlign w:val="center"/>
          </w:tcPr>
          <w:p>
            <w:pPr>
              <w:pStyle w:val="23"/>
              <w:ind w:left="145" w:leftChars="0" w:right="40" w:rightChars="0" w:firstLine="0" w:firstLineChars="0"/>
              <w:jc w:val="center"/>
              <w:rPr>
                <w:sz w:val="21"/>
                <w:highlight w:val="none"/>
              </w:rPr>
            </w:pPr>
            <w:r>
              <w:rPr>
                <w:sz w:val="21"/>
                <w:highlight w:val="none"/>
              </w:rPr>
              <w:t>招标答疑</w:t>
            </w:r>
          </w:p>
        </w:tc>
        <w:tc>
          <w:tcPr>
            <w:tcW w:w="7104" w:type="dxa"/>
            <w:vAlign w:val="top"/>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147" w:right="147" w:firstLine="0" w:firstLineChars="0"/>
              <w:jc w:val="left"/>
              <w:textAlignment w:val="auto"/>
              <w:rPr>
                <w:spacing w:val="-27"/>
                <w:sz w:val="21"/>
                <w:highlight w:val="none"/>
              </w:rPr>
            </w:pPr>
            <w:r>
              <w:rPr>
                <w:sz w:val="21"/>
                <w:highlight w:val="none"/>
              </w:rPr>
              <w:t>1. 请各投标人在</w:t>
            </w:r>
            <w:r>
              <w:rPr>
                <w:color w:val="00AF50"/>
                <w:sz w:val="21"/>
                <w:highlight w:val="none"/>
              </w:rPr>
              <w:t xml:space="preserve"> </w:t>
            </w:r>
            <w:r>
              <w:rPr>
                <w:spacing w:val="2"/>
                <w:sz w:val="21"/>
                <w:highlight w:val="none"/>
              </w:rPr>
              <w:t>20</w:t>
            </w:r>
            <w:r>
              <w:rPr>
                <w:rFonts w:hint="eastAsia"/>
                <w:spacing w:val="2"/>
                <w:sz w:val="21"/>
                <w:highlight w:val="none"/>
                <w:lang w:val="en-US" w:eastAsia="zh-CN"/>
              </w:rPr>
              <w:t>21</w:t>
            </w:r>
            <w:r>
              <w:rPr>
                <w:spacing w:val="17"/>
                <w:sz w:val="21"/>
                <w:highlight w:val="none"/>
              </w:rPr>
              <w:t xml:space="preserve"> 年</w:t>
            </w:r>
            <w:r>
              <w:rPr>
                <w:rFonts w:hint="eastAsia"/>
                <w:spacing w:val="17"/>
                <w:sz w:val="21"/>
                <w:highlight w:val="none"/>
                <w:lang w:val="en-US" w:eastAsia="zh-CN"/>
              </w:rPr>
              <w:t>10</w:t>
            </w:r>
            <w:r>
              <w:rPr>
                <w:spacing w:val="17"/>
                <w:sz w:val="21"/>
                <w:highlight w:val="none"/>
              </w:rPr>
              <w:t>月</w:t>
            </w:r>
            <w:r>
              <w:rPr>
                <w:rFonts w:hint="eastAsia"/>
                <w:spacing w:val="17"/>
                <w:sz w:val="21"/>
                <w:highlight w:val="none"/>
                <w:lang w:val="en-US" w:eastAsia="zh-CN"/>
              </w:rPr>
              <w:t>3</w:t>
            </w:r>
            <w:r>
              <w:rPr>
                <w:spacing w:val="17"/>
                <w:sz w:val="21"/>
                <w:highlight w:val="none"/>
              </w:rPr>
              <w:t>日</w:t>
            </w:r>
            <w:r>
              <w:rPr>
                <w:sz w:val="21"/>
                <w:highlight w:val="none"/>
              </w:rPr>
              <w:t>17:00</w:t>
            </w:r>
            <w:r>
              <w:rPr>
                <w:b/>
                <w:spacing w:val="1"/>
                <w:sz w:val="21"/>
                <w:highlight w:val="none"/>
              </w:rPr>
              <w:t>之前将所需答疑的问题加盖公</w:t>
            </w:r>
            <w:r>
              <w:rPr>
                <w:b/>
                <w:spacing w:val="25"/>
                <w:sz w:val="21"/>
                <w:highlight w:val="none"/>
              </w:rPr>
              <w:t xml:space="preserve">章扫描后 </w:t>
            </w:r>
            <w:r>
              <w:rPr>
                <w:spacing w:val="-31"/>
                <w:sz w:val="21"/>
                <w:highlight w:val="none"/>
              </w:rPr>
              <w:t xml:space="preserve">以 邮 件 形 式 发 到 招 标 代 理 联 系 人 </w:t>
            </w:r>
            <w:r>
              <w:rPr>
                <w:rFonts w:hint="eastAsia"/>
                <w:spacing w:val="-31"/>
                <w:sz w:val="21"/>
                <w:highlight w:val="none"/>
                <w:lang w:eastAsia="zh-CN"/>
              </w:rPr>
              <w:t>莫</w:t>
            </w:r>
            <w:r>
              <w:rPr>
                <w:spacing w:val="-31"/>
                <w:sz w:val="21"/>
                <w:highlight w:val="none"/>
              </w:rPr>
              <w:t xml:space="preserve"> 工 </w:t>
            </w:r>
            <w:r>
              <w:rPr>
                <w:sz w:val="21"/>
                <w:highlight w:val="none"/>
              </w:rPr>
              <w:t>（</w:t>
            </w:r>
            <w:r>
              <w:rPr>
                <w:spacing w:val="-27"/>
                <w:sz w:val="21"/>
                <w:highlight w:val="none"/>
              </w:rPr>
              <w:t xml:space="preserve"> 联 系 邮 箱 ： </w:t>
            </w:r>
            <w:r>
              <w:rPr>
                <w:rFonts w:hint="eastAsia"/>
                <w:highlight w:val="none"/>
                <w:lang w:val="en-US" w:eastAsia="zh-CN"/>
              </w:rPr>
              <w:t>23814171@qq.com</w:t>
            </w:r>
            <w:r>
              <w:rPr>
                <w:spacing w:val="-27"/>
                <w:sz w:val="21"/>
                <w:highlight w:val="none"/>
              </w:rPr>
              <w:t xml:space="preserve">）。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147" w:right="147" w:firstLine="0" w:firstLineChars="0"/>
              <w:jc w:val="left"/>
              <w:textAlignment w:val="auto"/>
              <w:rPr>
                <w:sz w:val="21"/>
                <w:highlight w:val="none"/>
              </w:rPr>
            </w:pPr>
            <w:r>
              <w:rPr>
                <w:sz w:val="21"/>
                <w:highlight w:val="none"/>
              </w:rPr>
              <w:t>2.投标人质疑期限：20</w:t>
            </w:r>
            <w:r>
              <w:rPr>
                <w:rFonts w:hint="eastAsia"/>
                <w:sz w:val="21"/>
                <w:highlight w:val="none"/>
                <w:lang w:val="en-US" w:eastAsia="zh-CN"/>
              </w:rPr>
              <w:t>21</w:t>
            </w:r>
            <w:r>
              <w:rPr>
                <w:sz w:val="21"/>
                <w:highlight w:val="none"/>
              </w:rPr>
              <w:t>年</w:t>
            </w:r>
            <w:r>
              <w:rPr>
                <w:rFonts w:hint="eastAsia"/>
                <w:sz w:val="21"/>
                <w:highlight w:val="none"/>
                <w:lang w:val="en-US" w:eastAsia="zh-CN"/>
              </w:rPr>
              <w:t>10</w:t>
            </w:r>
            <w:r>
              <w:rPr>
                <w:sz w:val="21"/>
                <w:highlight w:val="none"/>
              </w:rPr>
              <w:t>月</w:t>
            </w:r>
            <w:r>
              <w:rPr>
                <w:rFonts w:hint="eastAsia"/>
                <w:sz w:val="21"/>
                <w:highlight w:val="none"/>
                <w:lang w:val="en-US" w:eastAsia="zh-CN"/>
              </w:rPr>
              <w:t>3</w:t>
            </w:r>
            <w:r>
              <w:rPr>
                <w:sz w:val="21"/>
                <w:highlight w:val="none"/>
              </w:rPr>
              <w:t xml:space="preserve">日17:00前；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147" w:right="147" w:firstLine="0" w:firstLineChars="0"/>
              <w:jc w:val="left"/>
              <w:textAlignment w:val="auto"/>
              <w:rPr>
                <w:sz w:val="21"/>
                <w:highlight w:val="none"/>
              </w:rPr>
            </w:pPr>
            <w:r>
              <w:rPr>
                <w:sz w:val="21"/>
                <w:highlight w:val="none"/>
              </w:rPr>
              <w:t>3.招标人澄清、修补或答疑期限：20</w:t>
            </w:r>
            <w:r>
              <w:rPr>
                <w:rFonts w:hint="eastAsia"/>
                <w:sz w:val="21"/>
                <w:highlight w:val="none"/>
                <w:lang w:val="en-US" w:eastAsia="zh-CN"/>
              </w:rPr>
              <w:t>21</w:t>
            </w:r>
            <w:r>
              <w:rPr>
                <w:sz w:val="21"/>
                <w:highlight w:val="none"/>
              </w:rPr>
              <w:t>年</w:t>
            </w:r>
            <w:r>
              <w:rPr>
                <w:rFonts w:hint="eastAsia"/>
                <w:sz w:val="21"/>
                <w:highlight w:val="none"/>
                <w:lang w:val="en-US" w:eastAsia="zh-CN"/>
              </w:rPr>
              <w:t>10</w:t>
            </w:r>
            <w:r>
              <w:rPr>
                <w:sz w:val="21"/>
                <w:highlight w:val="none"/>
              </w:rPr>
              <w:t>月</w:t>
            </w:r>
            <w:r>
              <w:rPr>
                <w:rFonts w:hint="eastAsia"/>
                <w:sz w:val="21"/>
                <w:highlight w:val="none"/>
                <w:lang w:val="en-US" w:eastAsia="zh-CN"/>
              </w:rPr>
              <w:t>4</w:t>
            </w:r>
            <w:r>
              <w:rPr>
                <w:sz w:val="21"/>
                <w:highlight w:val="none"/>
              </w:rPr>
              <w:t xml:space="preserve">日17:00前；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147" w:leftChars="0" w:right="147" w:rightChars="0" w:firstLine="0" w:firstLineChars="0"/>
              <w:jc w:val="left"/>
              <w:textAlignment w:val="auto"/>
              <w:rPr>
                <w:sz w:val="21"/>
                <w:highlight w:val="none"/>
              </w:rPr>
            </w:pPr>
            <w:r>
              <w:rPr>
                <w:sz w:val="21"/>
                <w:highlight w:val="none"/>
              </w:rPr>
              <w:t>4.答疑纪要在</w:t>
            </w:r>
            <w:r>
              <w:rPr>
                <w:rFonts w:hint="eastAsia"/>
                <w:sz w:val="21"/>
                <w:highlight w:val="none"/>
                <w:lang w:eastAsia="zh-CN"/>
              </w:rPr>
              <w:t>中科高盛咨询集团有限公司</w:t>
            </w:r>
            <w:r>
              <w:rPr>
                <w:sz w:val="21"/>
                <w:highlight w:val="none"/>
              </w:rPr>
              <w:t xml:space="preserve">网站发布，此招标答疑回复将自动成为本招标文件的组成部分。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661" w:type="dxa"/>
            <w:vAlign w:val="center"/>
          </w:tcPr>
          <w:p>
            <w:pPr>
              <w:pStyle w:val="23"/>
              <w:ind w:left="0" w:leftChars="0" w:right="112" w:rightChars="0" w:firstLine="0" w:firstLineChars="0"/>
              <w:jc w:val="center"/>
              <w:rPr>
                <w:sz w:val="21"/>
                <w:highlight w:val="none"/>
              </w:rPr>
            </w:pPr>
            <w:r>
              <w:rPr>
                <w:sz w:val="21"/>
                <w:highlight w:val="none"/>
              </w:rPr>
              <w:t>17</w:t>
            </w:r>
          </w:p>
        </w:tc>
        <w:tc>
          <w:tcPr>
            <w:tcW w:w="1712" w:type="dxa"/>
            <w:vAlign w:val="center"/>
          </w:tcPr>
          <w:p>
            <w:pPr>
              <w:pStyle w:val="23"/>
              <w:ind w:left="145" w:leftChars="0" w:right="40" w:rightChars="0" w:firstLine="0" w:firstLineChars="0"/>
              <w:jc w:val="center"/>
              <w:rPr>
                <w:sz w:val="21"/>
                <w:highlight w:val="none"/>
              </w:rPr>
            </w:pPr>
            <w:r>
              <w:rPr>
                <w:sz w:val="21"/>
                <w:highlight w:val="none"/>
              </w:rPr>
              <w:t>其它</w:t>
            </w:r>
          </w:p>
        </w:tc>
        <w:tc>
          <w:tcPr>
            <w:tcW w:w="7104" w:type="dxa"/>
            <w:vAlign w:val="top"/>
          </w:tcPr>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147" w:right="147" w:firstLine="0" w:firstLineChars="0"/>
              <w:jc w:val="left"/>
              <w:textAlignment w:val="auto"/>
              <w:rPr>
                <w:sz w:val="21"/>
                <w:highlight w:val="none"/>
              </w:rPr>
            </w:pPr>
            <w:r>
              <w:rPr>
                <w:sz w:val="21"/>
                <w:highlight w:val="none"/>
              </w:rPr>
              <w:t xml:space="preserve">1.投标人应承担所有与编写和提交投标文件有关的费用，不论结果如何， </w:t>
            </w:r>
            <w:r>
              <w:rPr>
                <w:spacing w:val="-1"/>
                <w:sz w:val="21"/>
                <w:highlight w:val="none"/>
              </w:rPr>
              <w:t xml:space="preserve">招标人在任何情况下均无义务和责任承担这些费用。                  </w:t>
            </w:r>
            <w:r>
              <w:rPr>
                <w:sz w:val="21"/>
                <w:highlight w:val="none"/>
              </w:rPr>
              <w:t>2.</w:t>
            </w:r>
            <w:r>
              <w:rPr>
                <w:spacing w:val="-1"/>
                <w:sz w:val="21"/>
                <w:highlight w:val="none"/>
              </w:rPr>
              <w:t>投标人应保证所提交给招标人的资料和数据是真实的。</w:t>
            </w:r>
            <w:r>
              <w:rPr>
                <w:sz w:val="21"/>
                <w:highlight w:val="none"/>
              </w:rPr>
              <w:t xml:space="preserve">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147" w:right="147" w:firstLine="0" w:firstLineChars="0"/>
              <w:jc w:val="left"/>
              <w:textAlignment w:val="auto"/>
              <w:rPr>
                <w:sz w:val="21"/>
                <w:highlight w:val="none"/>
              </w:rPr>
            </w:pPr>
            <w:r>
              <w:rPr>
                <w:sz w:val="21"/>
                <w:highlight w:val="none"/>
              </w:rPr>
              <w:t xml:space="preserve">3.投标人应认真阅读招标文件中所有的事项、格式、条款和规范等要求。投标人没有按照招标文件要求提交全部资料，或者投标文件没有对招标文件各方面都做出实质性响应均属于投标人的风险，没有实质性响应招标文件要求的投标文件将被拒绝。 </w:t>
            </w: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left="147" w:leftChars="0" w:right="147" w:rightChars="0" w:firstLine="0" w:firstLineChars="0"/>
              <w:jc w:val="left"/>
              <w:textAlignment w:val="auto"/>
              <w:rPr>
                <w:sz w:val="21"/>
                <w:highlight w:val="none"/>
              </w:rPr>
            </w:pPr>
            <w:r>
              <w:rPr>
                <w:sz w:val="21"/>
                <w:highlight w:val="none"/>
              </w:rPr>
              <w:t xml:space="preserve">4.招标人不接受非正式投标人的查询和投标，也不对不接纳的原因做出解释。 </w:t>
            </w:r>
          </w:p>
        </w:tc>
      </w:tr>
    </w:tbl>
    <w:p>
      <w:pPr>
        <w:spacing w:after="0"/>
        <w:ind w:firstLine="0" w:firstLineChars="0"/>
        <w:rPr>
          <w:sz w:val="21"/>
          <w:highlight w:val="none"/>
        </w:rPr>
        <w:sectPr>
          <w:footerReference r:id="rId3" w:type="default"/>
          <w:pgSz w:w="11910" w:h="16850"/>
          <w:pgMar w:top="1440" w:right="1080" w:bottom="1440" w:left="1080" w:header="0" w:footer="835" w:gutter="0"/>
          <w:cols w:space="720" w:num="1"/>
        </w:sectPr>
      </w:pPr>
    </w:p>
    <w:p>
      <w:pPr>
        <w:pStyle w:val="5"/>
        <w:spacing w:before="51"/>
        <w:outlineLvl w:val="0"/>
        <w:rPr>
          <w:w w:val="99"/>
          <w:highlight w:val="none"/>
        </w:rPr>
      </w:pPr>
      <w:bookmarkStart w:id="1" w:name="_Toc20290"/>
      <w:r>
        <w:rPr>
          <w:highlight w:val="none"/>
        </w:rPr>
        <w:t>二、评定标原则</w:t>
      </w:r>
      <w:bookmarkEnd w:id="1"/>
      <w:r>
        <w:rPr>
          <w:w w:val="99"/>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en-US" w:bidi="ar-SA"/>
        </w:rPr>
      </w:pPr>
      <w:r>
        <w:rPr>
          <w:rFonts w:hint="eastAsia" w:ascii="宋体" w:hAnsi="宋体" w:eastAsia="宋体" w:cs="宋体"/>
          <w:kern w:val="2"/>
          <w:sz w:val="21"/>
          <w:szCs w:val="24"/>
          <w:highlight w:val="none"/>
          <w:lang w:val="en-US" w:bidi="ar-SA"/>
        </w:rPr>
        <w:t xml:space="preserve">评标委员会的组成：评标委员会由招标人依法组建。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en-US" w:bidi="ar-SA"/>
        </w:rPr>
      </w:pPr>
      <w:r>
        <w:rPr>
          <w:rFonts w:hint="eastAsia" w:ascii="宋体" w:hAnsi="宋体" w:eastAsia="宋体" w:cs="宋体"/>
          <w:kern w:val="2"/>
          <w:sz w:val="21"/>
          <w:szCs w:val="24"/>
          <w:highlight w:val="none"/>
          <w:lang w:val="en-US" w:bidi="ar-SA"/>
        </w:rPr>
        <w:t>评审程序：</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en-US" w:bidi="ar-SA"/>
        </w:rPr>
      </w:pPr>
      <w:r>
        <w:rPr>
          <w:rFonts w:hint="eastAsia" w:ascii="宋体" w:hAnsi="宋体" w:eastAsia="宋体" w:cs="宋体"/>
          <w:kern w:val="2"/>
          <w:sz w:val="21"/>
          <w:szCs w:val="24"/>
          <w:highlight w:val="none"/>
          <w:lang w:val="zh-CN" w:eastAsia="zh-CN" w:bidi="ar-SA"/>
        </w:rPr>
        <w:t>（1）评标委员会按资格审查的标准对所有递交投标文件的投标人进行审查。投标文件中全部符合附件一《资格审查表》中情形的，为资格审查合格。否则为资格审查不合格，经评标委员会认定后，其投标文件将被拒绝。如评标委员会成员的评审意见不一致时，以评标委员会过半数成员的意见作为评标委员会对该情形的认定结论。资格审查完成后，评标委员会汇总资格审查情况，编写资格审查报告。</w:t>
      </w:r>
      <w:r>
        <w:rPr>
          <w:rFonts w:hint="eastAsia" w:ascii="宋体" w:hAnsi="宋体" w:eastAsia="宋体" w:cs="宋体"/>
          <w:kern w:val="2"/>
          <w:sz w:val="21"/>
          <w:szCs w:val="24"/>
          <w:highlight w:val="none"/>
          <w:lang w:val="en-US" w:bidi="ar-SA"/>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en-US" w:bidi="ar-SA"/>
        </w:rPr>
      </w:pPr>
      <w:r>
        <w:rPr>
          <w:rFonts w:hint="eastAsia" w:ascii="宋体" w:hAnsi="宋体" w:eastAsia="宋体" w:cs="宋体"/>
          <w:kern w:val="2"/>
          <w:sz w:val="21"/>
          <w:szCs w:val="24"/>
          <w:highlight w:val="none"/>
          <w:lang w:val="en-US" w:bidi="ar-SA"/>
        </w:rPr>
        <w:t xml:space="preserve">（2）评标委员会按附件二《综合评分表》所规定的对通过资格审查的投标人进行综合评审，按综合得分由高到低进行排序，并确定排名前 5 名的投标人作为最终入库供应商。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en-US" w:bidi="ar-SA"/>
        </w:rPr>
      </w:pPr>
      <w:r>
        <w:rPr>
          <w:rFonts w:hint="eastAsia" w:ascii="宋体" w:hAnsi="宋体" w:eastAsia="宋体" w:cs="宋体"/>
          <w:kern w:val="2"/>
          <w:sz w:val="21"/>
          <w:szCs w:val="24"/>
          <w:highlight w:val="none"/>
          <w:lang w:val="en-US" w:bidi="ar-SA"/>
        </w:rPr>
        <w:t xml:space="preserve">（3）综合得分均按各评委评分的算术平均分计算（分数出现小数点时，保留小数点后二位， 第三位小数四舍五入）。综合得分相同时，按技术得分高的排前；如仍存在相同情况，由评标委员会确定排序的先后。  </w:t>
      </w:r>
    </w:p>
    <w:p>
      <w:pPr>
        <w:pStyle w:val="5"/>
        <w:outlineLvl w:val="0"/>
        <w:rPr>
          <w:b w:val="0"/>
          <w:highlight w:val="none"/>
        </w:rPr>
      </w:pPr>
      <w:bookmarkStart w:id="2" w:name="_Toc8280"/>
      <w:r>
        <w:rPr>
          <w:highlight w:val="none"/>
        </w:rPr>
        <w:t>三、投标文件编制</w:t>
      </w:r>
      <w:bookmarkEnd w:id="2"/>
      <w:r>
        <w:rPr>
          <w:b w:val="0"/>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各正式投标人须提交以下盖单位公章的文件：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（1）</w:t>
      </w:r>
      <w:r>
        <w:rPr>
          <w:rFonts w:hint="eastAsia" w:cs="宋体"/>
          <w:kern w:val="2"/>
          <w:sz w:val="21"/>
          <w:szCs w:val="24"/>
          <w:highlight w:val="none"/>
          <w:lang w:val="zh-CN" w:eastAsia="zh-CN" w:bidi="ar-SA"/>
        </w:rPr>
        <w:t>投标人声明</w:t>
      </w:r>
      <w:r>
        <w:rPr>
          <w:rFonts w:hint="eastAsia" w:ascii="宋体" w:hAnsi="宋体" w:eastAsia="宋体" w:cs="宋体"/>
          <w:kern w:val="2"/>
          <w:sz w:val="21"/>
          <w:szCs w:val="24"/>
          <w:highlight w:val="none"/>
          <w:lang w:val="zh-CN" w:eastAsia="zh-CN" w:bidi="ar-SA"/>
        </w:rPr>
        <w:t xml:space="preserve">（按格式 1 填报）；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（2）法定代表人证明书（按格式 2 填报）；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（3）法定代表人授权委托书（按格式 3 填报）；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（4）资格声明（按格式 4 填写）；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（5）投标函（按格式 </w:t>
      </w:r>
      <w:r>
        <w:rPr>
          <w:rFonts w:hint="eastAsia" w:cs="宋体"/>
          <w:kern w:val="2"/>
          <w:sz w:val="21"/>
          <w:szCs w:val="24"/>
          <w:highlight w:val="none"/>
          <w:lang w:val="en-US" w:eastAsia="zh-CN" w:bidi="ar-SA"/>
        </w:rPr>
        <w:t>5</w:t>
      </w:r>
      <w:r>
        <w:rPr>
          <w:rFonts w:hint="eastAsia" w:ascii="宋体" w:hAnsi="宋体" w:eastAsia="宋体" w:cs="宋体"/>
          <w:kern w:val="2"/>
          <w:sz w:val="21"/>
          <w:szCs w:val="24"/>
          <w:highlight w:val="none"/>
          <w:lang w:val="zh-CN" w:eastAsia="zh-CN" w:bidi="ar-SA"/>
        </w:rPr>
        <w:t xml:space="preserve"> 填写）</w:t>
      </w:r>
      <w:r>
        <w:rPr>
          <w:rFonts w:hint="eastAsia" w:cs="宋体"/>
          <w:kern w:val="2"/>
          <w:sz w:val="21"/>
          <w:szCs w:val="24"/>
          <w:highlight w:val="none"/>
          <w:lang w:val="zh-CN" w:eastAsia="zh-CN" w:bidi="ar-SA"/>
        </w:rPr>
        <w:t>；</w:t>
      </w:r>
      <w:r>
        <w:rPr>
          <w:rFonts w:hint="eastAsia" w:ascii="宋体" w:hAnsi="宋体" w:eastAsia="宋体" w:cs="宋体"/>
          <w:kern w:val="2"/>
          <w:sz w:val="21"/>
          <w:szCs w:val="24"/>
          <w:highlight w:val="none"/>
          <w:lang w:val="zh-CN" w:eastAsia="zh-CN" w:bidi="ar-SA"/>
        </w:rPr>
        <w:t xml:space="preserve"> </w:t>
      </w:r>
    </w:p>
    <w:p>
      <w:pPr>
        <w:numPr>
          <w:ilvl w:val="0"/>
          <w:numId w:val="3"/>
        </w:num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营业执照副本复印件；</w:t>
      </w:r>
    </w:p>
    <w:p>
      <w:pPr>
        <w:numPr>
          <w:ilvl w:val="0"/>
          <w:numId w:val="3"/>
        </w:num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投标人认为需要补充的其它可以证明自身实力及能力的文件（如有）。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上述资料（电子文件除外）原则上采用 A4 规格，并装订成册后密封包装，包装袋（盒） 封面标记注明“项目编号、项目名称、投标人单位名称”，封口处须加盖公章，份数为 1 份正本、5 份副本。如果因投标人未按以上提交要求加写标记和密封，我司对误投或资料提前泄露概不负责，各投标人必须保证所提交资格文件的真实性，如有弄虚作假，取消其报名和投标资格。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本项目不接受邮寄、电子邮件、传真形式递交的投标文件。投标人须派其合法的授权人在投标文件递交截止时间之前将投标文件送达招标代理机构并签字确认，投标人须承担因未送达并签字所造成的一切责任。 唱标信封 1 份（内含开标一览表 1 份、含 Word 或 PDF 格式的投标文件电子文件（使用光盘或 U 盘）1 份、退保证金说明、投标保证金缴纳证明及开票资料说明函） </w:t>
      </w:r>
    </w:p>
    <w:p>
      <w:pPr>
        <w:pStyle w:val="5"/>
        <w:spacing w:before="66"/>
        <w:outlineLvl w:val="0"/>
        <w:rPr>
          <w:w w:val="99"/>
          <w:highlight w:val="none"/>
        </w:rPr>
      </w:pPr>
      <w:bookmarkStart w:id="3" w:name="_Toc6229"/>
      <w:r>
        <w:rPr>
          <w:highlight w:val="none"/>
        </w:rPr>
        <w:t>四、投标文件的递交及截止时间</w:t>
      </w:r>
      <w:bookmarkEnd w:id="3"/>
      <w:r>
        <w:rPr>
          <w:w w:val="99"/>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投标人应该按照招标人的包装要求、时间及地点递交投标文件，招标人有权拒绝接收逾期递交或未按要求包装的投标文件，已递交的招标人不予退回。在招标人视情况适时延时后仍逾期未递交者视为自动放弃投标。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招标人有权在提交投标文件截止时间的 24 小时之前以修改补充通知的方式,酌情延长提交投标文件的截止时间，在此情况下，投标人的所有权利和义务以及投标文件递补交的截止时间，均以延长后新的投标截止时间为准；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本投标文件的有效期为</w:t>
      </w:r>
      <w:r>
        <w:rPr>
          <w:rFonts w:hint="eastAsia" w:ascii="宋体" w:hAnsi="宋体" w:eastAsia="宋体" w:cs="宋体"/>
          <w:kern w:val="2"/>
          <w:sz w:val="21"/>
          <w:szCs w:val="24"/>
          <w:highlight w:val="none"/>
          <w:u w:val="single"/>
          <w:lang w:val="zh-CN" w:eastAsia="zh-CN" w:bidi="ar-SA"/>
        </w:rPr>
        <w:t xml:space="preserve"> 90 </w:t>
      </w:r>
      <w:r>
        <w:rPr>
          <w:rFonts w:hint="eastAsia" w:ascii="宋体" w:hAnsi="宋体" w:eastAsia="宋体" w:cs="宋体"/>
          <w:kern w:val="2"/>
          <w:sz w:val="21"/>
          <w:szCs w:val="24"/>
          <w:highlight w:val="none"/>
          <w:lang w:val="zh-CN" w:eastAsia="zh-CN" w:bidi="ar-SA"/>
        </w:rPr>
        <w:t>日历天(从投标文件递交截止之日起计)。此期间，所有的投标文件均保持有效。</w:t>
      </w:r>
    </w:p>
    <w:p>
      <w:pPr>
        <w:pStyle w:val="5"/>
        <w:spacing w:before="66"/>
        <w:outlineLvl w:val="0"/>
        <w:rPr>
          <w:highlight w:val="none"/>
        </w:rPr>
      </w:pPr>
      <w:bookmarkStart w:id="4" w:name="_Toc1554"/>
      <w:r>
        <w:rPr>
          <w:highlight w:val="none"/>
        </w:rPr>
        <w:t>五、投标文件的更改与撤回</w:t>
      </w:r>
      <w:bookmarkEnd w:id="4"/>
      <w:r>
        <w:rPr>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投标人在提交投标文件以后，在规定的投标截止时间之前，可以以书面形式补充修改或撤回已提交的投标文件，并以书面形式通知招标人。补充、修改的内容为投标文件的组成部分。送交投标文件在截止日期以后，投标文件不得更改或撤回。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投标人对投标文件的补充、修改，应按招标文件上述规定密封和标识，并在投标文件密封袋上清楚标明“补充、修改”或“撤回”字样。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在投标截止时间之后，投标人不得补充、修改投标文件。</w:t>
      </w:r>
    </w:p>
    <w:p>
      <w:pPr>
        <w:pStyle w:val="5"/>
        <w:spacing w:before="66"/>
        <w:outlineLvl w:val="0"/>
        <w:rPr>
          <w:highlight w:val="none"/>
        </w:rPr>
      </w:pPr>
      <w:bookmarkStart w:id="5" w:name="_Toc13683"/>
      <w:r>
        <w:rPr>
          <w:highlight w:val="none"/>
        </w:rPr>
        <w:t>六、投标文件的澄清</w:t>
      </w:r>
      <w:bookmarkEnd w:id="5"/>
      <w:r>
        <w:rPr>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在提交投标文件截止时间前，招标人可对招标文件进行必要的澄清或修改。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在评标阶段，招标人认为需要时，可通知投标人要求澄清投标文件的问题，或者要求补充某些资料，投标人应按要求进行书面答复。投标人书面答复文件作为投标文件的一部分。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投标人获取招标文件后，应仔细阅读招标文件的所有内容，如有残缺、疑问等问题应在招标文件约定的时间内提出，否则由此引起的风险由投标人自己承担。投标人应认真阅读招标文件， 若投标人的投标文件没有按招标文件要求提交全部资料，或投标文件没有对招标文件做出实质性响应，其风险由投标人自行承担，该投标文件将被拒绝。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无论是招标人根据需要主动对招标文件进行必要的澄清，或是根据投标人的要求对招标文件做出的修改，招标人都将于投标截止时间 24 小时前以书面文件形式予以答复。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招标文件的澄清或修改将在中科高盛咨询集团有限公司网站发布，招标文件的澄清或修改的内容作为招标文件的组成部分，对招标人、投标人双方均具有约束作用。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当招标文件、招标文件的澄清或修改等在同一内容的表述上不一致时，以最后时间发出的书面文件为准。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为使投标人在编制投标文件时有充分的时间对招标文件的澄清或修改等内容进行研究，招标人有权酌情延长提交投标文件的截止时间。 </w:t>
      </w:r>
    </w:p>
    <w:p>
      <w:pPr>
        <w:pStyle w:val="5"/>
        <w:spacing w:before="66"/>
        <w:outlineLvl w:val="0"/>
        <w:rPr>
          <w:w w:val="99"/>
          <w:highlight w:val="none"/>
        </w:rPr>
      </w:pPr>
      <w:bookmarkStart w:id="6" w:name="_Toc4215"/>
      <w:r>
        <w:rPr>
          <w:highlight w:val="none"/>
        </w:rPr>
        <w:t>七、接受和拒绝接受投标的权力</w:t>
      </w:r>
      <w:bookmarkEnd w:id="6"/>
      <w:r>
        <w:rPr>
          <w:w w:val="99"/>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在中标通知发出之前的任何时候，招标人有权接受或拒绝任何投标，有权宣布投标无效或拒绝所有投标，并对由此而引起的投标人的影响不承担责任，也不解释原因。 </w:t>
      </w:r>
    </w:p>
    <w:p>
      <w:pPr>
        <w:pStyle w:val="5"/>
        <w:spacing w:before="67"/>
        <w:outlineLvl w:val="0"/>
        <w:rPr>
          <w:w w:val="99"/>
          <w:highlight w:val="none"/>
        </w:rPr>
      </w:pPr>
      <w:bookmarkStart w:id="7" w:name="_Toc2850"/>
      <w:r>
        <w:rPr>
          <w:highlight w:val="none"/>
        </w:rPr>
        <w:t>八、中标通知</w:t>
      </w:r>
      <w:bookmarkEnd w:id="7"/>
      <w:r>
        <w:rPr>
          <w:w w:val="99"/>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评标结束后，招标人向中标入库单位发出中标通知，确认其投标已被接受。在发出中标通知之前，招标人将把预期中标入库单位的所有澄清资料及双方其它来往的书面文件，交由预期中标入库单位确认，这些文件、资料将作为合同文件的组成部分，然后再发中标通知。 </w:t>
      </w:r>
    </w:p>
    <w:p>
      <w:pPr>
        <w:pStyle w:val="5"/>
        <w:spacing w:before="66"/>
        <w:outlineLvl w:val="0"/>
        <w:rPr>
          <w:w w:val="99"/>
          <w:highlight w:val="none"/>
        </w:rPr>
      </w:pPr>
      <w:bookmarkStart w:id="8" w:name="_Toc25195"/>
      <w:r>
        <w:rPr>
          <w:highlight w:val="none"/>
        </w:rPr>
        <w:t>九、保密条款</w:t>
      </w:r>
      <w:bookmarkEnd w:id="8"/>
      <w:r>
        <w:rPr>
          <w:w w:val="99"/>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招标过程中，投标人对招标文件的所有内容有保密义务，不得将招标文件之内容向他人泄露，一旦发现，招标人有权取消其投标资格或视其投标文件为无效标书。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定标后，投标方无论中标与否，都不得泄露本次招投标及评标的相关文件。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若因投标方没有遵循保密要求而引起招标人损失的，招标人有权向招标人要求索赔。 </w:t>
      </w:r>
    </w:p>
    <w:p>
      <w:pPr>
        <w:pStyle w:val="5"/>
        <w:spacing w:before="67"/>
        <w:outlineLvl w:val="0"/>
        <w:rPr>
          <w:w w:val="99"/>
          <w:highlight w:val="none"/>
        </w:rPr>
      </w:pPr>
      <w:bookmarkStart w:id="9" w:name="_Toc1895"/>
      <w:r>
        <w:rPr>
          <w:highlight w:val="none"/>
        </w:rPr>
        <w:t>十、其他</w:t>
      </w:r>
      <w:bookmarkEnd w:id="9"/>
      <w:r>
        <w:rPr>
          <w:w w:val="99"/>
          <w:highlight w:val="none"/>
        </w:rPr>
        <w:t xml:space="preserve">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除本招标文件外，招标人在招标期间发出补遗漏书和其他正式有效函件，均是招标文件的有效组成部分。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投标人可在截止投标前就招标文件中发现的问题，以书面或电子邮件形式通知招标人修改。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本招标文件的各项条款是后续合同的重要组成部分，如无异议，即视为生效。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t xml:space="preserve">本招标文件解释权在招标人。 </w:t>
      </w: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sectPr>
          <w:pgSz w:w="11910" w:h="16850"/>
          <w:pgMar w:top="1440" w:right="1080" w:bottom="1440" w:left="1080" w:header="0" w:footer="835" w:gutter="0"/>
          <w:cols w:space="720" w:num="1"/>
        </w:sectPr>
      </w:pPr>
    </w:p>
    <w:p>
      <w:pPr>
        <w:autoSpaceDE/>
        <w:autoSpaceDN/>
        <w:spacing w:before="0" w:after="0" w:line="400" w:lineRule="exact"/>
        <w:ind w:right="0"/>
        <w:jc w:val="both"/>
        <w:rPr>
          <w:rFonts w:hint="eastAsia" w:ascii="宋体" w:hAnsi="宋体" w:eastAsia="宋体" w:cs="宋体"/>
          <w:kern w:val="2"/>
          <w:sz w:val="21"/>
          <w:szCs w:val="24"/>
          <w:highlight w:val="none"/>
          <w:lang w:val="zh-CN" w:eastAsia="zh-CN" w:bidi="ar-SA"/>
        </w:rPr>
      </w:pPr>
      <w:r>
        <w:rPr>
          <w:rFonts w:hint="eastAsia" w:ascii="黑体" w:hAnsi="黑体" w:eastAsia="黑体" w:cs="黑体"/>
          <w:kern w:val="2"/>
          <w:sz w:val="28"/>
          <w:szCs w:val="36"/>
          <w:highlight w:val="none"/>
          <w:lang w:val="zh-CN" w:eastAsia="zh-CN" w:bidi="ar-SA"/>
        </w:rPr>
        <w:t>附件一</w:t>
      </w:r>
      <w:r>
        <w:rPr>
          <w:rFonts w:hint="eastAsia" w:ascii="宋体" w:hAnsi="宋体" w:eastAsia="宋体" w:cs="宋体"/>
          <w:kern w:val="2"/>
          <w:sz w:val="21"/>
          <w:szCs w:val="24"/>
          <w:highlight w:val="none"/>
          <w:lang w:val="zh-CN" w:eastAsia="zh-CN" w:bidi="ar-SA"/>
        </w:rPr>
        <w:t xml:space="preserve"> </w:t>
      </w:r>
    </w:p>
    <w:p>
      <w:pPr>
        <w:pStyle w:val="3"/>
        <w:spacing w:before="141"/>
        <w:ind w:left="64" w:leftChars="29" w:right="70" w:rightChars="0" w:firstLine="156" w:firstLineChars="50"/>
        <w:rPr>
          <w:w w:val="100"/>
          <w:highlight w:val="none"/>
        </w:rPr>
      </w:pPr>
      <w:r>
        <w:rPr>
          <w:highlight w:val="none"/>
        </w:rPr>
        <w:t>资格审查表</w:t>
      </w:r>
      <w:r>
        <w:rPr>
          <w:w w:val="100"/>
          <w:highlight w:val="none"/>
        </w:rPr>
        <w:t xml:space="preserve"> </w:t>
      </w:r>
    </w:p>
    <w:p>
      <w:pPr>
        <w:spacing w:before="70" w:after="17"/>
        <w:ind w:left="531" w:right="0" w:firstLine="442" w:firstLineChars="200"/>
        <w:jc w:val="left"/>
        <w:rPr>
          <w:b/>
          <w:w w:val="99"/>
          <w:sz w:val="21"/>
          <w:highlight w:val="none"/>
        </w:rPr>
      </w:pPr>
      <w:r>
        <w:rPr>
          <w:b/>
          <w:bCs/>
          <w:highlight w:val="none"/>
        </w:rPr>
        <w:pict>
          <v:line id="_x0000_s1032" o:spid="_x0000_s1032" o:spt="20" style="position:absolute;left:0pt;margin-left:106.25pt;margin-top:18.85pt;height:27pt;width:279.35pt;mso-position-horizontal-relative:page;z-index:-251656192;mso-width-relative:page;mso-height-relative:page;" stroked="t" coordsize="21600,21600">
            <v:path arrowok="t"/>
            <v:fill focussize="0,0"/>
            <v:stroke color="#000000"/>
            <v:imagedata o:title=""/>
            <o:lock v:ext="edit"/>
          </v:line>
        </w:pict>
      </w:r>
      <w:r>
        <w:rPr>
          <w:rFonts w:hint="eastAsia"/>
          <w:b/>
          <w:bCs/>
          <w:highlight w:val="none"/>
          <w:lang w:eastAsia="zh-CN"/>
        </w:rPr>
        <w:t>项目</w:t>
      </w:r>
      <w:r>
        <w:rPr>
          <w:b/>
          <w:sz w:val="21"/>
          <w:highlight w:val="none"/>
        </w:rPr>
        <w:t>名称：</w:t>
      </w:r>
      <w:r>
        <w:rPr>
          <w:b/>
          <w:w w:val="99"/>
          <w:sz w:val="21"/>
          <w:highlight w:val="none"/>
        </w:rPr>
        <w:t xml:space="preserve"> </w:t>
      </w:r>
    </w:p>
    <w:tbl>
      <w:tblPr>
        <w:tblStyle w:val="16"/>
        <w:tblW w:w="0" w:type="auto"/>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6"/>
        <w:gridCol w:w="5618"/>
        <w:gridCol w:w="811"/>
        <w:gridCol w:w="946"/>
        <w:gridCol w:w="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tcPr>
          <w:p>
            <w:pPr>
              <w:pStyle w:val="23"/>
              <w:spacing w:before="135"/>
              <w:ind w:left="219" w:right="99" w:firstLine="0" w:firstLineChars="0"/>
              <w:jc w:val="center"/>
              <w:rPr>
                <w:b/>
                <w:w w:val="99"/>
                <w:sz w:val="21"/>
                <w:highlight w:val="none"/>
              </w:rPr>
            </w:pPr>
            <w:r>
              <w:rPr>
                <w:b/>
                <w:sz w:val="21"/>
                <w:highlight w:val="none"/>
              </w:rPr>
              <w:t>编号</w:t>
            </w:r>
            <w:r>
              <w:rPr>
                <w:b/>
                <w:w w:val="99"/>
                <w:sz w:val="21"/>
                <w:highlight w:val="none"/>
              </w:rPr>
              <w:t xml:space="preserve"> </w:t>
            </w:r>
          </w:p>
        </w:tc>
        <w:tc>
          <w:tcPr>
            <w:tcW w:w="5618" w:type="dxa"/>
          </w:tcPr>
          <w:p>
            <w:pPr>
              <w:pStyle w:val="23"/>
              <w:ind w:left="3492" w:firstLine="422" w:firstLineChars="200"/>
              <w:rPr>
                <w:b/>
                <w:w w:val="99"/>
                <w:sz w:val="21"/>
                <w:highlight w:val="none"/>
              </w:rPr>
            </w:pPr>
            <w:r>
              <w:rPr>
                <w:b/>
                <w:sz w:val="21"/>
                <w:highlight w:val="none"/>
              </w:rPr>
              <w:t>投标人名称</w:t>
            </w:r>
            <w:r>
              <w:rPr>
                <w:b/>
                <w:w w:val="99"/>
                <w:sz w:val="21"/>
                <w:highlight w:val="none"/>
              </w:rPr>
              <w:t xml:space="preserve"> </w:t>
            </w:r>
          </w:p>
          <w:p>
            <w:pPr>
              <w:pStyle w:val="23"/>
              <w:spacing w:before="1" w:line="250" w:lineRule="exact"/>
              <w:ind w:left="736" w:leftChars="0" w:hanging="736" w:hangingChars="349"/>
              <w:rPr>
                <w:b/>
                <w:sz w:val="21"/>
                <w:highlight w:val="none"/>
              </w:rPr>
            </w:pPr>
            <w:r>
              <w:rPr>
                <w:b/>
                <w:sz w:val="21"/>
                <w:highlight w:val="none"/>
              </w:rPr>
              <w:t>审查项目</w:t>
            </w:r>
            <w:r>
              <w:rPr>
                <w:b/>
                <w:w w:val="99"/>
                <w:sz w:val="21"/>
                <w:highlight w:val="none"/>
              </w:rPr>
              <w:t xml:space="preserve"> </w:t>
            </w:r>
          </w:p>
        </w:tc>
        <w:tc>
          <w:tcPr>
            <w:tcW w:w="811" w:type="dxa"/>
          </w:tcPr>
          <w:p>
            <w:pPr>
              <w:pStyle w:val="23"/>
              <w:spacing w:before="135"/>
              <w:ind w:left="112" w:firstLine="0" w:firstLineChars="0"/>
              <w:rPr>
                <w:sz w:val="21"/>
                <w:highlight w:val="none"/>
              </w:rPr>
            </w:pPr>
          </w:p>
        </w:tc>
        <w:tc>
          <w:tcPr>
            <w:tcW w:w="946" w:type="dxa"/>
          </w:tcPr>
          <w:p>
            <w:pPr>
              <w:pStyle w:val="23"/>
              <w:spacing w:before="135"/>
              <w:ind w:right="351" w:firstLine="0" w:firstLineChars="0"/>
              <w:jc w:val="right"/>
              <w:rPr>
                <w:sz w:val="21"/>
                <w:highlight w:val="none"/>
              </w:rPr>
            </w:pPr>
          </w:p>
        </w:tc>
        <w:tc>
          <w:tcPr>
            <w:tcW w:w="916" w:type="dxa"/>
          </w:tcPr>
          <w:p>
            <w:pPr>
              <w:pStyle w:val="23"/>
              <w:spacing w:before="135"/>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796" w:type="dxa"/>
            <w:vAlign w:val="center"/>
          </w:tcPr>
          <w:p>
            <w:pPr>
              <w:pStyle w:val="23"/>
              <w:ind w:left="219" w:right="84" w:firstLine="0" w:firstLineChars="0"/>
              <w:jc w:val="center"/>
              <w:rPr>
                <w:sz w:val="21"/>
                <w:highlight w:val="none"/>
              </w:rPr>
            </w:pPr>
            <w:r>
              <w:rPr>
                <w:sz w:val="21"/>
                <w:highlight w:val="none"/>
              </w:rPr>
              <w:t>1</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sz w:val="21"/>
                <w:highlight w:val="none"/>
              </w:rPr>
              <w:t>具有独立承担民事责任能力的在中华人民共和国境内注册的法人或其它组织；</w:t>
            </w:r>
          </w:p>
        </w:tc>
        <w:tc>
          <w:tcPr>
            <w:tcW w:w="811" w:type="dxa"/>
          </w:tcPr>
          <w:p>
            <w:pPr>
              <w:pStyle w:val="23"/>
              <w:ind w:right="276" w:firstLine="0" w:firstLineChars="0"/>
              <w:jc w:val="right"/>
              <w:rPr>
                <w:sz w:val="21"/>
                <w:highlight w:val="none"/>
              </w:rPr>
            </w:pPr>
          </w:p>
        </w:tc>
        <w:tc>
          <w:tcPr>
            <w:tcW w:w="946" w:type="dxa"/>
          </w:tcPr>
          <w:p>
            <w:pPr>
              <w:pStyle w:val="23"/>
              <w:ind w:right="351" w:firstLine="0" w:firstLineChars="0"/>
              <w:jc w:val="right"/>
              <w:rPr>
                <w:sz w:val="21"/>
                <w:highlight w:val="none"/>
              </w:rPr>
            </w:pPr>
          </w:p>
        </w:tc>
        <w:tc>
          <w:tcPr>
            <w:tcW w:w="916" w:type="dxa"/>
          </w:tcPr>
          <w:p>
            <w:pPr>
              <w:pStyle w:val="23"/>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96" w:type="dxa"/>
            <w:vAlign w:val="center"/>
          </w:tcPr>
          <w:p>
            <w:pPr>
              <w:pStyle w:val="23"/>
              <w:ind w:left="219" w:right="84" w:firstLine="0" w:firstLineChars="0"/>
              <w:jc w:val="center"/>
              <w:rPr>
                <w:sz w:val="21"/>
                <w:highlight w:val="none"/>
              </w:rPr>
            </w:pPr>
            <w:r>
              <w:rPr>
                <w:sz w:val="21"/>
                <w:highlight w:val="none"/>
              </w:rPr>
              <w:t>2</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rFonts w:hint="eastAsia"/>
                <w:sz w:val="21"/>
                <w:highlight w:val="none"/>
                <w:lang w:val="en-US" w:eastAsia="zh-CN"/>
              </w:rPr>
              <w:t>具备建筑装修装饰工程专业承包贰级及以上资质或建筑工程施工总承包叁级或以上资质；</w:t>
            </w:r>
          </w:p>
        </w:tc>
        <w:tc>
          <w:tcPr>
            <w:tcW w:w="811" w:type="dxa"/>
          </w:tcPr>
          <w:p>
            <w:pPr>
              <w:pStyle w:val="23"/>
              <w:spacing w:before="1"/>
              <w:ind w:right="276" w:firstLine="0" w:firstLineChars="0"/>
              <w:jc w:val="right"/>
              <w:rPr>
                <w:sz w:val="21"/>
                <w:highlight w:val="none"/>
              </w:rPr>
            </w:pPr>
          </w:p>
        </w:tc>
        <w:tc>
          <w:tcPr>
            <w:tcW w:w="946" w:type="dxa"/>
          </w:tcPr>
          <w:p>
            <w:pPr>
              <w:pStyle w:val="23"/>
              <w:spacing w:before="1"/>
              <w:ind w:right="351" w:firstLine="0" w:firstLineChars="0"/>
              <w:jc w:val="right"/>
              <w:rPr>
                <w:sz w:val="21"/>
                <w:highlight w:val="none"/>
              </w:rPr>
            </w:pPr>
          </w:p>
        </w:tc>
        <w:tc>
          <w:tcPr>
            <w:tcW w:w="916" w:type="dxa"/>
          </w:tcPr>
          <w:p>
            <w:pPr>
              <w:pStyle w:val="23"/>
              <w:spacing w:before="1"/>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796" w:type="dxa"/>
            <w:vAlign w:val="center"/>
          </w:tcPr>
          <w:p>
            <w:pPr>
              <w:pStyle w:val="23"/>
              <w:ind w:left="219" w:right="84" w:firstLine="0" w:firstLineChars="0"/>
              <w:jc w:val="center"/>
              <w:rPr>
                <w:sz w:val="21"/>
                <w:highlight w:val="none"/>
              </w:rPr>
            </w:pPr>
            <w:r>
              <w:rPr>
                <w:sz w:val="21"/>
                <w:highlight w:val="none"/>
              </w:rPr>
              <w:t>3</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sz w:val="21"/>
                <w:highlight w:val="none"/>
              </w:rPr>
              <w:t>具备在有效期内的《安全生产许可证》；</w:t>
            </w:r>
          </w:p>
        </w:tc>
        <w:tc>
          <w:tcPr>
            <w:tcW w:w="811" w:type="dxa"/>
          </w:tcPr>
          <w:p>
            <w:pPr>
              <w:pStyle w:val="23"/>
              <w:spacing w:before="135"/>
              <w:ind w:right="276" w:firstLine="0" w:firstLineChars="0"/>
              <w:jc w:val="right"/>
              <w:rPr>
                <w:sz w:val="21"/>
                <w:highlight w:val="none"/>
              </w:rPr>
            </w:pPr>
          </w:p>
        </w:tc>
        <w:tc>
          <w:tcPr>
            <w:tcW w:w="946" w:type="dxa"/>
          </w:tcPr>
          <w:p>
            <w:pPr>
              <w:pStyle w:val="23"/>
              <w:spacing w:before="135"/>
              <w:ind w:right="351" w:firstLine="0" w:firstLineChars="0"/>
              <w:jc w:val="right"/>
              <w:rPr>
                <w:sz w:val="21"/>
                <w:highlight w:val="none"/>
              </w:rPr>
            </w:pPr>
          </w:p>
        </w:tc>
        <w:tc>
          <w:tcPr>
            <w:tcW w:w="916" w:type="dxa"/>
          </w:tcPr>
          <w:p>
            <w:pPr>
              <w:pStyle w:val="23"/>
              <w:spacing w:before="135"/>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6" w:type="dxa"/>
            <w:vAlign w:val="center"/>
          </w:tcPr>
          <w:p>
            <w:pPr>
              <w:pStyle w:val="23"/>
              <w:ind w:left="219" w:right="84" w:firstLine="0" w:firstLineChars="0"/>
              <w:jc w:val="center"/>
              <w:rPr>
                <w:rFonts w:hint="eastAsia" w:eastAsia="宋体"/>
                <w:sz w:val="21"/>
                <w:highlight w:val="none"/>
                <w:lang w:eastAsia="zh-CN"/>
              </w:rPr>
            </w:pPr>
            <w:r>
              <w:rPr>
                <w:rFonts w:hint="eastAsia"/>
                <w:sz w:val="21"/>
                <w:highlight w:val="none"/>
                <w:lang w:val="en-US" w:eastAsia="zh-CN"/>
              </w:rPr>
              <w:t>4</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sz w:val="21"/>
                <w:highlight w:val="none"/>
              </w:rPr>
              <w:t>本项目不接受联合体投标；</w:t>
            </w:r>
          </w:p>
        </w:tc>
        <w:tc>
          <w:tcPr>
            <w:tcW w:w="811" w:type="dxa"/>
          </w:tcPr>
          <w:p>
            <w:pPr>
              <w:pStyle w:val="23"/>
              <w:spacing w:before="135"/>
              <w:ind w:right="276" w:firstLine="0" w:firstLineChars="0"/>
              <w:jc w:val="right"/>
              <w:rPr>
                <w:sz w:val="21"/>
                <w:highlight w:val="none"/>
              </w:rPr>
            </w:pPr>
          </w:p>
        </w:tc>
        <w:tc>
          <w:tcPr>
            <w:tcW w:w="946" w:type="dxa"/>
          </w:tcPr>
          <w:p>
            <w:pPr>
              <w:pStyle w:val="23"/>
              <w:spacing w:before="135"/>
              <w:ind w:right="351" w:firstLine="0" w:firstLineChars="0"/>
              <w:jc w:val="right"/>
              <w:rPr>
                <w:sz w:val="21"/>
                <w:highlight w:val="none"/>
              </w:rPr>
            </w:pPr>
          </w:p>
        </w:tc>
        <w:tc>
          <w:tcPr>
            <w:tcW w:w="916" w:type="dxa"/>
          </w:tcPr>
          <w:p>
            <w:pPr>
              <w:pStyle w:val="23"/>
              <w:spacing w:before="135"/>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796" w:type="dxa"/>
            <w:vAlign w:val="center"/>
          </w:tcPr>
          <w:p>
            <w:pPr>
              <w:pStyle w:val="23"/>
              <w:ind w:left="219" w:right="84" w:firstLine="0" w:firstLineChars="0"/>
              <w:jc w:val="center"/>
              <w:rPr>
                <w:rFonts w:hint="eastAsia" w:eastAsia="宋体"/>
                <w:sz w:val="21"/>
                <w:highlight w:val="none"/>
                <w:lang w:eastAsia="zh-CN"/>
              </w:rPr>
            </w:pPr>
            <w:r>
              <w:rPr>
                <w:rFonts w:hint="eastAsia"/>
                <w:sz w:val="21"/>
                <w:highlight w:val="none"/>
                <w:lang w:val="en-US" w:eastAsia="zh-CN"/>
              </w:rPr>
              <w:t>5</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sz w:val="21"/>
                <w:highlight w:val="none"/>
              </w:rPr>
              <w:t>已登记报名并购买了招标文件；</w:t>
            </w:r>
          </w:p>
        </w:tc>
        <w:tc>
          <w:tcPr>
            <w:tcW w:w="811" w:type="dxa"/>
          </w:tcPr>
          <w:p>
            <w:pPr>
              <w:pStyle w:val="23"/>
              <w:spacing w:before="135"/>
              <w:ind w:right="276" w:firstLine="0" w:firstLineChars="0"/>
              <w:jc w:val="right"/>
              <w:rPr>
                <w:sz w:val="21"/>
                <w:highlight w:val="none"/>
              </w:rPr>
            </w:pPr>
          </w:p>
        </w:tc>
        <w:tc>
          <w:tcPr>
            <w:tcW w:w="946" w:type="dxa"/>
          </w:tcPr>
          <w:p>
            <w:pPr>
              <w:pStyle w:val="23"/>
              <w:spacing w:before="135"/>
              <w:ind w:right="351" w:firstLine="0" w:firstLineChars="0"/>
              <w:jc w:val="right"/>
              <w:rPr>
                <w:sz w:val="21"/>
                <w:highlight w:val="none"/>
              </w:rPr>
            </w:pPr>
          </w:p>
        </w:tc>
        <w:tc>
          <w:tcPr>
            <w:tcW w:w="916" w:type="dxa"/>
          </w:tcPr>
          <w:p>
            <w:pPr>
              <w:pStyle w:val="23"/>
              <w:spacing w:before="135"/>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796" w:type="dxa"/>
            <w:vAlign w:val="center"/>
          </w:tcPr>
          <w:p>
            <w:pPr>
              <w:pStyle w:val="23"/>
              <w:ind w:left="219" w:right="84" w:firstLine="0" w:firstLineChars="0"/>
              <w:jc w:val="center"/>
              <w:rPr>
                <w:rFonts w:hint="eastAsia" w:eastAsia="宋体"/>
                <w:sz w:val="21"/>
                <w:highlight w:val="none"/>
                <w:lang w:eastAsia="zh-CN"/>
              </w:rPr>
            </w:pPr>
            <w:r>
              <w:rPr>
                <w:rFonts w:hint="eastAsia"/>
                <w:sz w:val="21"/>
                <w:highlight w:val="none"/>
                <w:lang w:val="en-US" w:eastAsia="zh-CN"/>
              </w:rPr>
              <w:t>6</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sz w:val="21"/>
                <w:highlight w:val="none"/>
              </w:rPr>
              <w:t>投标人未被列入“信用中国”网站中“记录失信被执行人或企业异常经营或重大税收违法案件当事人名单或政府采购严重违法失信行为”的记录名单。同时对信用信息查询</w:t>
            </w:r>
          </w:p>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sz w:val="21"/>
                <w:highlight w:val="none"/>
              </w:rPr>
              <w:t>记录和证据截图存档。如相关失信记录已失效，投标人须提供相关证明资料。</w:t>
            </w:r>
          </w:p>
        </w:tc>
        <w:tc>
          <w:tcPr>
            <w:tcW w:w="811" w:type="dxa"/>
          </w:tcPr>
          <w:p>
            <w:pPr>
              <w:pStyle w:val="23"/>
              <w:ind w:right="276" w:firstLine="0" w:firstLineChars="0"/>
              <w:jc w:val="right"/>
              <w:rPr>
                <w:sz w:val="21"/>
                <w:highlight w:val="none"/>
              </w:rPr>
            </w:pPr>
          </w:p>
        </w:tc>
        <w:tc>
          <w:tcPr>
            <w:tcW w:w="946" w:type="dxa"/>
          </w:tcPr>
          <w:p>
            <w:pPr>
              <w:pStyle w:val="23"/>
              <w:ind w:right="351" w:firstLine="0" w:firstLineChars="0"/>
              <w:jc w:val="right"/>
              <w:rPr>
                <w:sz w:val="21"/>
                <w:highlight w:val="none"/>
              </w:rPr>
            </w:pPr>
          </w:p>
        </w:tc>
        <w:tc>
          <w:tcPr>
            <w:tcW w:w="916" w:type="dxa"/>
          </w:tcPr>
          <w:p>
            <w:pPr>
              <w:pStyle w:val="23"/>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vAlign w:val="center"/>
          </w:tcPr>
          <w:p>
            <w:pPr>
              <w:pStyle w:val="23"/>
              <w:ind w:left="219" w:right="84" w:firstLine="0" w:firstLineChars="0"/>
              <w:jc w:val="center"/>
              <w:rPr>
                <w:rFonts w:hint="default"/>
                <w:sz w:val="21"/>
                <w:highlight w:val="none"/>
                <w:lang w:val="en-US" w:eastAsia="zh-CN"/>
              </w:rPr>
            </w:pPr>
            <w:r>
              <w:rPr>
                <w:rFonts w:hint="eastAsia"/>
                <w:sz w:val="21"/>
                <w:highlight w:val="none"/>
                <w:lang w:val="en-US" w:eastAsia="zh-CN"/>
              </w:rPr>
              <w:t>7</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rFonts w:hint="eastAsia"/>
                <w:sz w:val="21"/>
                <w:highlight w:val="none"/>
                <w:lang w:eastAsia="zh-CN"/>
              </w:rPr>
              <w:t>已按照招标文件要求递交投标保证金。</w:t>
            </w:r>
          </w:p>
        </w:tc>
        <w:tc>
          <w:tcPr>
            <w:tcW w:w="811" w:type="dxa"/>
          </w:tcPr>
          <w:p>
            <w:pPr>
              <w:pStyle w:val="23"/>
              <w:ind w:right="276" w:firstLine="0" w:firstLineChars="0"/>
              <w:jc w:val="right"/>
              <w:rPr>
                <w:sz w:val="21"/>
                <w:highlight w:val="none"/>
              </w:rPr>
            </w:pPr>
          </w:p>
        </w:tc>
        <w:tc>
          <w:tcPr>
            <w:tcW w:w="946" w:type="dxa"/>
          </w:tcPr>
          <w:p>
            <w:pPr>
              <w:pStyle w:val="23"/>
              <w:ind w:right="351" w:firstLine="0" w:firstLineChars="0"/>
              <w:jc w:val="right"/>
              <w:rPr>
                <w:sz w:val="21"/>
                <w:highlight w:val="none"/>
              </w:rPr>
            </w:pPr>
          </w:p>
        </w:tc>
        <w:tc>
          <w:tcPr>
            <w:tcW w:w="916" w:type="dxa"/>
          </w:tcPr>
          <w:p>
            <w:pPr>
              <w:pStyle w:val="23"/>
              <w:ind w:left="89" w:firstLine="0" w:firstLineChars="0"/>
              <w:jc w:val="center"/>
              <w:rPr>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tcPr>
          <w:p>
            <w:pPr>
              <w:pStyle w:val="23"/>
              <w:spacing w:before="135"/>
              <w:ind w:left="219" w:right="99" w:firstLine="0" w:firstLineChars="0"/>
              <w:jc w:val="center"/>
              <w:rPr>
                <w:sz w:val="21"/>
                <w:highlight w:val="none"/>
              </w:rPr>
            </w:pPr>
            <w:r>
              <w:rPr>
                <w:sz w:val="21"/>
                <w:highlight w:val="none"/>
              </w:rPr>
              <w:t xml:space="preserve">结论 </w:t>
            </w:r>
          </w:p>
        </w:tc>
        <w:tc>
          <w:tcPr>
            <w:tcW w:w="561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113" w:right="113" w:firstLine="0" w:firstLineChars="0"/>
              <w:jc w:val="both"/>
              <w:textAlignment w:val="auto"/>
              <w:rPr>
                <w:sz w:val="21"/>
                <w:highlight w:val="none"/>
              </w:rPr>
            </w:pPr>
            <w:r>
              <w:rPr>
                <w:sz w:val="21"/>
                <w:highlight w:val="none"/>
              </w:rPr>
              <w:t xml:space="preserve">是否通过并进入下一阶段评审 </w:t>
            </w:r>
          </w:p>
        </w:tc>
        <w:tc>
          <w:tcPr>
            <w:tcW w:w="811" w:type="dxa"/>
          </w:tcPr>
          <w:p>
            <w:pPr>
              <w:pStyle w:val="23"/>
              <w:spacing w:before="135"/>
              <w:ind w:right="276" w:firstLine="0" w:firstLineChars="0"/>
              <w:jc w:val="right"/>
              <w:rPr>
                <w:sz w:val="21"/>
                <w:highlight w:val="none"/>
              </w:rPr>
            </w:pPr>
          </w:p>
        </w:tc>
        <w:tc>
          <w:tcPr>
            <w:tcW w:w="946" w:type="dxa"/>
          </w:tcPr>
          <w:p>
            <w:pPr>
              <w:pStyle w:val="23"/>
              <w:spacing w:before="135"/>
              <w:ind w:right="351" w:firstLine="0" w:firstLineChars="0"/>
              <w:jc w:val="right"/>
              <w:rPr>
                <w:sz w:val="21"/>
                <w:highlight w:val="none"/>
              </w:rPr>
            </w:pPr>
          </w:p>
        </w:tc>
        <w:tc>
          <w:tcPr>
            <w:tcW w:w="916" w:type="dxa"/>
          </w:tcPr>
          <w:p>
            <w:pPr>
              <w:pStyle w:val="23"/>
              <w:spacing w:before="135"/>
              <w:ind w:left="89" w:firstLine="0" w:firstLineChars="0"/>
              <w:jc w:val="center"/>
              <w:rPr>
                <w:sz w:val="21"/>
                <w:highlight w:val="none"/>
              </w:rPr>
            </w:pPr>
          </w:p>
        </w:tc>
      </w:tr>
    </w:tbl>
    <w:p>
      <w:pPr>
        <w:pStyle w:val="8"/>
        <w:spacing w:before="8"/>
        <w:ind w:left="426" w:leftChars="0" w:firstLine="12" w:firstLineChars="6"/>
        <w:rPr>
          <w:highlight w:val="none"/>
        </w:rPr>
      </w:pPr>
      <w:r>
        <w:rPr>
          <w:highlight w:val="none"/>
        </w:rPr>
        <w:t xml:space="preserve">备注：1、“是否通过并进入下一阶段评审”一栏应写“通过”“不通过”。 </w:t>
      </w:r>
    </w:p>
    <w:p>
      <w:pPr>
        <w:pStyle w:val="8"/>
        <w:spacing w:before="8"/>
        <w:ind w:left="426" w:leftChars="0" w:firstLine="12" w:firstLineChars="6"/>
        <w:rPr>
          <w:highlight w:val="none"/>
        </w:rPr>
      </w:pPr>
      <w:r>
        <w:rPr>
          <w:highlight w:val="none"/>
        </w:rPr>
        <w:t xml:space="preserve">2、满足上述情况的打“○”，不满足的打“×”。 </w:t>
      </w:r>
    </w:p>
    <w:p>
      <w:pPr>
        <w:pStyle w:val="8"/>
        <w:spacing w:before="8"/>
        <w:ind w:left="426" w:leftChars="0" w:firstLine="12" w:firstLineChars="6"/>
        <w:rPr>
          <w:highlight w:val="none"/>
        </w:rPr>
      </w:pPr>
      <w:r>
        <w:rPr>
          <w:highlight w:val="none"/>
        </w:rPr>
        <w:t xml:space="preserve">3、经评标委员会审核后，出现一个“×”的结论为“不通过”，即按资格审查不合格处。 </w:t>
      </w:r>
    </w:p>
    <w:p>
      <w:pPr>
        <w:pStyle w:val="8"/>
        <w:spacing w:before="8"/>
        <w:ind w:left="426" w:leftChars="0" w:firstLine="12" w:firstLineChars="6"/>
        <w:rPr>
          <w:highlight w:val="none"/>
        </w:rPr>
      </w:pPr>
      <w:r>
        <w:rPr>
          <w:highlight w:val="none"/>
        </w:rPr>
        <w:t xml:space="preserve">4、表中全部条件满足为“通过”，同意进入下一阶段评审。 </w:t>
      </w:r>
    </w:p>
    <w:p>
      <w:pPr>
        <w:pStyle w:val="8"/>
        <w:spacing w:before="8"/>
        <w:ind w:left="426" w:leftChars="0" w:firstLine="12" w:firstLineChars="6"/>
        <w:rPr>
          <w:highlight w:val="none"/>
        </w:rPr>
      </w:pPr>
      <w:r>
        <w:rPr>
          <w:highlight w:val="none"/>
        </w:rPr>
        <w:t xml:space="preserve">5、若评委意见不一致时，则按少数服从多数的原则，决定该投标人是否通过资格审查，进入下一阶段评审。 </w:t>
      </w:r>
    </w:p>
    <w:p>
      <w:pPr>
        <w:pStyle w:val="8"/>
        <w:spacing w:before="151"/>
        <w:ind w:left="426" w:firstLine="420" w:firstLineChars="200"/>
        <w:rPr>
          <w:highlight w:val="none"/>
        </w:rPr>
      </w:pPr>
      <w:r>
        <w:rPr>
          <w:highlight w:val="none"/>
        </w:rPr>
        <w:t xml:space="preserve">评 委 签 名 ： </w:t>
      </w:r>
    </w:p>
    <w:p>
      <w:pPr>
        <w:pStyle w:val="8"/>
        <w:spacing w:before="151"/>
        <w:ind w:left="426" w:firstLine="420" w:firstLineChars="200"/>
        <w:rPr>
          <w:highlight w:val="none"/>
        </w:rPr>
      </w:pPr>
      <w:r>
        <w:rPr>
          <w:highlight w:val="none"/>
        </w:rPr>
        <w:t xml:space="preserve">日 期 ： </w:t>
      </w:r>
    </w:p>
    <w:p>
      <w:pPr>
        <w:spacing w:after="0"/>
        <w:ind w:firstLine="0" w:firstLineChars="0"/>
        <w:rPr>
          <w:highlight w:val="none"/>
        </w:rPr>
        <w:sectPr>
          <w:pgSz w:w="11910" w:h="16850"/>
          <w:pgMar w:top="1440" w:right="1080" w:bottom="1440" w:left="1080" w:header="0" w:footer="835" w:gutter="0"/>
          <w:cols w:space="720" w:num="1"/>
        </w:sectPr>
      </w:pPr>
    </w:p>
    <w:p>
      <w:pPr>
        <w:autoSpaceDE/>
        <w:autoSpaceDN/>
        <w:spacing w:before="0" w:after="0" w:line="400" w:lineRule="exact"/>
        <w:ind w:left="0" w:right="0" w:firstLine="560" w:firstLineChars="200"/>
        <w:jc w:val="both"/>
        <w:rPr>
          <w:rFonts w:hint="eastAsia" w:ascii="黑体" w:hAnsi="黑体" w:eastAsia="黑体" w:cs="黑体"/>
          <w:kern w:val="2"/>
          <w:sz w:val="28"/>
          <w:szCs w:val="36"/>
          <w:highlight w:val="none"/>
          <w:lang w:val="zh-CN" w:eastAsia="zh-CN" w:bidi="ar-SA"/>
        </w:rPr>
      </w:pPr>
      <w:r>
        <w:rPr>
          <w:rFonts w:hint="eastAsia" w:ascii="黑体" w:hAnsi="黑体" w:eastAsia="黑体" w:cs="黑体"/>
          <w:kern w:val="2"/>
          <w:sz w:val="28"/>
          <w:szCs w:val="36"/>
          <w:highlight w:val="none"/>
          <w:lang w:val="zh-CN" w:eastAsia="zh-CN" w:bidi="ar-SA"/>
        </w:rPr>
        <w:t>附件二 综合评审表</w:t>
      </w:r>
    </w:p>
    <w:p>
      <w:pPr>
        <w:pStyle w:val="3"/>
        <w:spacing w:before="141"/>
        <w:ind w:left="64" w:leftChars="29" w:right="70" w:rightChars="0" w:firstLine="156" w:firstLineChars="50"/>
        <w:rPr>
          <w:highlight w:val="none"/>
        </w:rPr>
      </w:pPr>
      <w:r>
        <w:rPr>
          <w:highlight w:val="none"/>
        </w:rPr>
        <w:t>综合评审权重</w:t>
      </w:r>
    </w:p>
    <w:tbl>
      <w:tblPr>
        <w:tblStyle w:val="16"/>
        <w:tblW w:w="90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1766"/>
        <w:gridCol w:w="1701"/>
        <w:gridCol w:w="1701"/>
        <w:gridCol w:w="1984"/>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07" w:hRule="atLeast"/>
          <w:jc w:val="center"/>
        </w:trPr>
        <w:tc>
          <w:tcPr>
            <w:tcW w:w="1766" w:type="dxa"/>
            <w:vAlign w:val="center"/>
          </w:tcPr>
          <w:p>
            <w:pPr>
              <w:adjustRightInd w:val="0"/>
              <w:snapToGrid w:val="0"/>
              <w:jc w:val="center"/>
              <w:rPr>
                <w:rFonts w:cs="宋体" w:asciiTheme="minorEastAsia" w:hAnsiTheme="minorEastAsia" w:eastAsiaTheme="minorEastAsia"/>
                <w:b/>
                <w:sz w:val="21"/>
                <w:szCs w:val="20"/>
                <w:highlight w:val="none"/>
              </w:rPr>
            </w:pPr>
            <w:r>
              <w:rPr>
                <w:rFonts w:cs="宋体" w:asciiTheme="minorEastAsia" w:hAnsiTheme="minorEastAsia" w:eastAsiaTheme="minorEastAsia"/>
                <w:b/>
                <w:sz w:val="21"/>
                <w:szCs w:val="20"/>
                <w:highlight w:val="none"/>
              </w:rPr>
              <w:t>评分项目</w:t>
            </w:r>
          </w:p>
        </w:tc>
        <w:tc>
          <w:tcPr>
            <w:tcW w:w="1701" w:type="dxa"/>
            <w:tcBorders>
              <w:right w:val="single" w:color="auto" w:sz="2" w:space="0"/>
            </w:tcBorders>
            <w:vAlign w:val="center"/>
          </w:tcPr>
          <w:p>
            <w:pPr>
              <w:adjustRightInd w:val="0"/>
              <w:snapToGrid w:val="0"/>
              <w:jc w:val="center"/>
              <w:rPr>
                <w:rFonts w:cs="宋体" w:asciiTheme="minorEastAsia" w:hAnsiTheme="minorEastAsia" w:eastAsiaTheme="minorEastAsia"/>
                <w:b/>
                <w:sz w:val="21"/>
                <w:szCs w:val="20"/>
                <w:highlight w:val="none"/>
              </w:rPr>
            </w:pPr>
            <w:r>
              <w:rPr>
                <w:rFonts w:hint="eastAsia" w:cs="宋体" w:asciiTheme="minorEastAsia" w:hAnsiTheme="minorEastAsia" w:eastAsiaTheme="minorEastAsia"/>
                <w:b/>
                <w:sz w:val="21"/>
                <w:szCs w:val="20"/>
                <w:highlight w:val="none"/>
              </w:rPr>
              <w:t>商务</w:t>
            </w:r>
            <w:r>
              <w:rPr>
                <w:rFonts w:cs="宋体" w:asciiTheme="minorEastAsia" w:hAnsiTheme="minorEastAsia" w:eastAsiaTheme="minorEastAsia"/>
                <w:b/>
                <w:sz w:val="21"/>
                <w:szCs w:val="20"/>
                <w:highlight w:val="none"/>
              </w:rPr>
              <w:t>评分</w:t>
            </w:r>
          </w:p>
        </w:tc>
        <w:tc>
          <w:tcPr>
            <w:tcW w:w="1701" w:type="dxa"/>
            <w:tcBorders>
              <w:right w:val="single" w:color="auto" w:sz="2" w:space="0"/>
            </w:tcBorders>
            <w:vAlign w:val="center"/>
          </w:tcPr>
          <w:p>
            <w:pPr>
              <w:adjustRightInd w:val="0"/>
              <w:snapToGrid w:val="0"/>
              <w:jc w:val="center"/>
              <w:rPr>
                <w:rFonts w:cs="宋体" w:asciiTheme="minorEastAsia" w:hAnsiTheme="minorEastAsia" w:eastAsiaTheme="minorEastAsia"/>
                <w:b/>
                <w:sz w:val="21"/>
                <w:szCs w:val="20"/>
                <w:highlight w:val="none"/>
              </w:rPr>
            </w:pPr>
            <w:r>
              <w:rPr>
                <w:rFonts w:hint="eastAsia" w:cs="宋体" w:asciiTheme="minorEastAsia" w:hAnsiTheme="minorEastAsia" w:eastAsiaTheme="minorEastAsia"/>
                <w:b/>
                <w:sz w:val="21"/>
                <w:szCs w:val="20"/>
                <w:highlight w:val="none"/>
              </w:rPr>
              <w:t>技术</w:t>
            </w:r>
            <w:r>
              <w:rPr>
                <w:rFonts w:cs="宋体" w:asciiTheme="minorEastAsia" w:hAnsiTheme="minorEastAsia" w:eastAsiaTheme="minorEastAsia"/>
                <w:b/>
                <w:sz w:val="21"/>
                <w:szCs w:val="20"/>
                <w:highlight w:val="none"/>
              </w:rPr>
              <w:t>评分</w:t>
            </w:r>
          </w:p>
        </w:tc>
        <w:tc>
          <w:tcPr>
            <w:tcW w:w="1984" w:type="dxa"/>
            <w:vAlign w:val="center"/>
          </w:tcPr>
          <w:p>
            <w:pPr>
              <w:adjustRightInd w:val="0"/>
              <w:snapToGrid w:val="0"/>
              <w:jc w:val="center"/>
              <w:rPr>
                <w:rFonts w:asciiTheme="minorEastAsia" w:hAnsiTheme="minorEastAsia" w:eastAsiaTheme="minorEastAsia"/>
                <w:b/>
                <w:sz w:val="21"/>
                <w:szCs w:val="20"/>
                <w:highlight w:val="none"/>
              </w:rPr>
            </w:pPr>
            <w:r>
              <w:rPr>
                <w:rFonts w:cs="宋体" w:asciiTheme="minorEastAsia" w:hAnsiTheme="minorEastAsia" w:eastAsiaTheme="minorEastAsia"/>
                <w:b/>
                <w:sz w:val="21"/>
                <w:szCs w:val="20"/>
                <w:highlight w:val="none"/>
              </w:rPr>
              <w:t>价格评分</w:t>
            </w:r>
          </w:p>
        </w:tc>
        <w:tc>
          <w:tcPr>
            <w:tcW w:w="1932" w:type="dxa"/>
          </w:tcPr>
          <w:p>
            <w:pPr>
              <w:adjustRightInd w:val="0"/>
              <w:snapToGrid w:val="0"/>
              <w:ind w:firstLine="632" w:firstLineChars="300"/>
              <w:rPr>
                <w:rFonts w:cs="宋体" w:asciiTheme="minorEastAsia" w:hAnsiTheme="minorEastAsia" w:eastAsiaTheme="minorEastAsia"/>
                <w:b/>
                <w:sz w:val="21"/>
                <w:szCs w:val="20"/>
                <w:highlight w:val="none"/>
              </w:rPr>
            </w:pPr>
            <w:r>
              <w:rPr>
                <w:rFonts w:hint="eastAsia" w:cs="宋体" w:asciiTheme="minorEastAsia" w:hAnsiTheme="minorEastAsia" w:eastAsiaTheme="minorEastAsia"/>
                <w:b/>
                <w:sz w:val="21"/>
                <w:szCs w:val="20"/>
                <w:highlight w:val="none"/>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87" w:hRule="atLeast"/>
          <w:jc w:val="center"/>
        </w:trPr>
        <w:tc>
          <w:tcPr>
            <w:tcW w:w="1766" w:type="dxa"/>
            <w:vAlign w:val="center"/>
          </w:tcPr>
          <w:p>
            <w:pPr>
              <w:adjustRightInd w:val="0"/>
              <w:snapToGrid w:val="0"/>
              <w:ind w:firstLine="420" w:firstLineChars="200"/>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rPr>
              <w:t>权重</w:t>
            </w:r>
          </w:p>
        </w:tc>
        <w:tc>
          <w:tcPr>
            <w:tcW w:w="1701" w:type="dxa"/>
            <w:tcBorders>
              <w:right w:val="single" w:color="auto" w:sz="2" w:space="0"/>
            </w:tcBorders>
            <w:vAlign w:val="center"/>
          </w:tcPr>
          <w:p>
            <w:pPr>
              <w:adjustRightInd w:val="0"/>
              <w:snapToGrid w:val="0"/>
              <w:ind w:firstLine="420" w:firstLineChars="200"/>
              <w:rPr>
                <w:rFonts w:hint="eastAsia"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lang w:val="en-US" w:eastAsia="zh-CN"/>
              </w:rPr>
              <w:t>15</w:t>
            </w:r>
            <w:r>
              <w:rPr>
                <w:rFonts w:hint="eastAsia" w:cs="宋体" w:asciiTheme="minorEastAsia" w:hAnsiTheme="minorEastAsia" w:eastAsiaTheme="minorEastAsia"/>
                <w:sz w:val="21"/>
                <w:szCs w:val="20"/>
                <w:highlight w:val="none"/>
              </w:rPr>
              <w:t xml:space="preserve">% </w:t>
            </w:r>
          </w:p>
        </w:tc>
        <w:tc>
          <w:tcPr>
            <w:tcW w:w="1701" w:type="dxa"/>
            <w:tcBorders>
              <w:right w:val="single" w:color="auto" w:sz="2" w:space="0"/>
            </w:tcBorders>
            <w:vAlign w:val="center"/>
          </w:tcPr>
          <w:p>
            <w:pPr>
              <w:adjustRightInd w:val="0"/>
              <w:snapToGrid w:val="0"/>
              <w:ind w:firstLine="630" w:firstLineChars="300"/>
              <w:jc w:val="left"/>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lang w:val="en-US" w:eastAsia="zh-CN"/>
              </w:rPr>
              <w:t>25</w:t>
            </w:r>
            <w:r>
              <w:rPr>
                <w:rFonts w:hint="eastAsia" w:cs="宋体" w:asciiTheme="minorEastAsia" w:hAnsiTheme="minorEastAsia" w:eastAsiaTheme="minorEastAsia"/>
                <w:sz w:val="21"/>
                <w:szCs w:val="20"/>
                <w:highlight w:val="none"/>
              </w:rPr>
              <w:t>%</w:t>
            </w:r>
          </w:p>
        </w:tc>
        <w:tc>
          <w:tcPr>
            <w:tcW w:w="1984" w:type="dxa"/>
            <w:vAlign w:val="center"/>
          </w:tcPr>
          <w:p>
            <w:pPr>
              <w:adjustRightInd w:val="0"/>
              <w:snapToGrid w:val="0"/>
              <w:ind w:firstLine="630" w:firstLineChars="300"/>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lang w:val="en-US" w:eastAsia="zh-CN"/>
              </w:rPr>
              <w:t>60</w:t>
            </w:r>
            <w:r>
              <w:rPr>
                <w:rFonts w:hint="eastAsia" w:cs="宋体" w:asciiTheme="minorEastAsia" w:hAnsiTheme="minorEastAsia" w:eastAsiaTheme="minorEastAsia"/>
                <w:sz w:val="21"/>
                <w:szCs w:val="20"/>
                <w:highlight w:val="none"/>
              </w:rPr>
              <w:t>%</w:t>
            </w:r>
          </w:p>
        </w:tc>
        <w:tc>
          <w:tcPr>
            <w:tcW w:w="1932" w:type="dxa"/>
          </w:tcPr>
          <w:p>
            <w:pPr>
              <w:adjustRightInd w:val="0"/>
              <w:snapToGrid w:val="0"/>
              <w:ind w:firstLine="630" w:firstLineChars="300"/>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9" w:hRule="atLeast"/>
          <w:jc w:val="center"/>
        </w:trPr>
        <w:tc>
          <w:tcPr>
            <w:tcW w:w="1766" w:type="dxa"/>
            <w:vAlign w:val="center"/>
          </w:tcPr>
          <w:p>
            <w:pPr>
              <w:adjustRightInd w:val="0"/>
              <w:snapToGrid w:val="0"/>
              <w:ind w:firstLine="420" w:firstLineChars="200"/>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rPr>
              <w:t>分值</w:t>
            </w:r>
          </w:p>
        </w:tc>
        <w:tc>
          <w:tcPr>
            <w:tcW w:w="1701" w:type="dxa"/>
            <w:tcBorders>
              <w:right w:val="single" w:color="auto" w:sz="2" w:space="0"/>
            </w:tcBorders>
            <w:vAlign w:val="center"/>
          </w:tcPr>
          <w:p>
            <w:pPr>
              <w:adjustRightInd w:val="0"/>
              <w:snapToGrid w:val="0"/>
              <w:ind w:firstLine="420" w:firstLineChars="200"/>
              <w:rPr>
                <w:rFonts w:hint="eastAsia"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lang w:val="en-US" w:eastAsia="zh-CN"/>
              </w:rPr>
              <w:t>15</w:t>
            </w:r>
            <w:r>
              <w:rPr>
                <w:rFonts w:hint="eastAsia" w:cs="宋体" w:asciiTheme="minorEastAsia" w:hAnsiTheme="minorEastAsia" w:eastAsiaTheme="minorEastAsia"/>
                <w:sz w:val="21"/>
                <w:szCs w:val="20"/>
                <w:highlight w:val="none"/>
              </w:rPr>
              <w:t>分</w:t>
            </w:r>
          </w:p>
        </w:tc>
        <w:tc>
          <w:tcPr>
            <w:tcW w:w="1701" w:type="dxa"/>
            <w:tcBorders>
              <w:right w:val="single" w:color="auto" w:sz="2" w:space="0"/>
            </w:tcBorders>
            <w:vAlign w:val="center"/>
          </w:tcPr>
          <w:p>
            <w:pPr>
              <w:adjustRightInd w:val="0"/>
              <w:snapToGrid w:val="0"/>
              <w:ind w:firstLine="630" w:firstLineChars="300"/>
              <w:jc w:val="left"/>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lang w:val="en-US" w:eastAsia="zh-CN"/>
              </w:rPr>
              <w:t>25</w:t>
            </w:r>
            <w:r>
              <w:rPr>
                <w:rFonts w:hint="eastAsia" w:cs="宋体" w:asciiTheme="minorEastAsia" w:hAnsiTheme="minorEastAsia" w:eastAsiaTheme="minorEastAsia"/>
                <w:sz w:val="21"/>
                <w:szCs w:val="20"/>
                <w:highlight w:val="none"/>
              </w:rPr>
              <w:t>分</w:t>
            </w:r>
          </w:p>
        </w:tc>
        <w:tc>
          <w:tcPr>
            <w:tcW w:w="1984" w:type="dxa"/>
            <w:vAlign w:val="center"/>
          </w:tcPr>
          <w:p>
            <w:pPr>
              <w:adjustRightInd w:val="0"/>
              <w:snapToGrid w:val="0"/>
              <w:ind w:firstLine="630" w:firstLineChars="300"/>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lang w:val="en-US" w:eastAsia="zh-CN"/>
              </w:rPr>
              <w:t>60</w:t>
            </w:r>
            <w:r>
              <w:rPr>
                <w:rFonts w:hint="eastAsia" w:cs="宋体" w:asciiTheme="minorEastAsia" w:hAnsiTheme="minorEastAsia" w:eastAsiaTheme="minorEastAsia"/>
                <w:sz w:val="21"/>
                <w:szCs w:val="20"/>
                <w:highlight w:val="none"/>
              </w:rPr>
              <w:t>分</w:t>
            </w:r>
          </w:p>
        </w:tc>
        <w:tc>
          <w:tcPr>
            <w:tcW w:w="1932" w:type="dxa"/>
          </w:tcPr>
          <w:p>
            <w:pPr>
              <w:adjustRightInd w:val="0"/>
              <w:snapToGrid w:val="0"/>
              <w:ind w:firstLine="630" w:firstLineChars="300"/>
              <w:rPr>
                <w:rFonts w:cs="宋体" w:asciiTheme="minorEastAsia" w:hAnsiTheme="minorEastAsia" w:eastAsiaTheme="minorEastAsia"/>
                <w:sz w:val="21"/>
                <w:szCs w:val="20"/>
                <w:highlight w:val="none"/>
              </w:rPr>
            </w:pPr>
            <w:r>
              <w:rPr>
                <w:rFonts w:hint="eastAsia" w:cs="宋体" w:asciiTheme="minorEastAsia" w:hAnsiTheme="minorEastAsia" w:eastAsiaTheme="minorEastAsia"/>
                <w:sz w:val="21"/>
                <w:szCs w:val="20"/>
                <w:highlight w:val="none"/>
              </w:rPr>
              <w:t>100分</w:t>
            </w:r>
          </w:p>
        </w:tc>
      </w:tr>
    </w:tbl>
    <w:p>
      <w:pPr>
        <w:pStyle w:val="3"/>
        <w:spacing w:before="110"/>
        <w:ind w:right="1332" w:firstLine="622" w:firstLineChars="200"/>
        <w:rPr>
          <w:w w:val="100"/>
          <w:highlight w:val="none"/>
        </w:rPr>
      </w:pPr>
      <w:r>
        <w:rPr>
          <w:highlight w:val="none"/>
        </w:rPr>
        <w:t>商务评审部分</w:t>
      </w:r>
      <w:r>
        <w:rPr>
          <w:w w:val="100"/>
          <w:highlight w:val="none"/>
        </w:rPr>
        <w:t xml:space="preserve"> </w:t>
      </w:r>
    </w:p>
    <w:tbl>
      <w:tblPr>
        <w:tblStyle w:val="16"/>
        <w:tblW w:w="0" w:type="auto"/>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1"/>
        <w:gridCol w:w="1616"/>
        <w:gridCol w:w="6058"/>
        <w:gridCol w:w="1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721"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序号</w:t>
            </w:r>
          </w:p>
        </w:tc>
        <w:tc>
          <w:tcPr>
            <w:tcW w:w="161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评审项目</w:t>
            </w:r>
          </w:p>
        </w:tc>
        <w:tc>
          <w:tcPr>
            <w:tcW w:w="6058"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评审内容</w:t>
            </w:r>
          </w:p>
        </w:tc>
        <w:tc>
          <w:tcPr>
            <w:tcW w:w="1025" w:type="dxa"/>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分值</w:t>
            </w:r>
          </w:p>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 xml:space="preserve">（分）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21"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1</w:t>
            </w:r>
          </w:p>
        </w:tc>
        <w:tc>
          <w:tcPr>
            <w:tcW w:w="1616"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拟投入本项目的项目负责人</w:t>
            </w:r>
          </w:p>
        </w:tc>
        <w:tc>
          <w:tcPr>
            <w:tcW w:w="6058" w:type="dxa"/>
            <w:vAlign w:val="center"/>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根据各有效投标人拟投入本项目的项目负责人取得建筑工程类中级工程师或以上技术职称5年或以上的，得3分；具备建筑工程专业二级注册建造师资格5年或以上的，再得2分；本项最高得5分。</w:t>
            </w:r>
          </w:p>
        </w:tc>
        <w:tc>
          <w:tcPr>
            <w:tcW w:w="102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721"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2</w:t>
            </w:r>
          </w:p>
        </w:tc>
        <w:tc>
          <w:tcPr>
            <w:tcW w:w="1616"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201</w:t>
            </w:r>
            <w:r>
              <w:rPr>
                <w:rFonts w:hint="eastAsia" w:cs="Times New Roman" w:asciiTheme="minorEastAsia" w:hAnsiTheme="minorEastAsia" w:eastAsiaTheme="minorEastAsia"/>
                <w:sz w:val="21"/>
                <w:szCs w:val="20"/>
                <w:highlight w:val="none"/>
                <w:lang w:val="en-US" w:eastAsia="zh-CN"/>
              </w:rPr>
              <w:t>8</w:t>
            </w:r>
            <w:r>
              <w:rPr>
                <w:rFonts w:hint="eastAsia" w:cs="Times New Roman" w:asciiTheme="minorEastAsia" w:hAnsiTheme="minorEastAsia" w:eastAsiaTheme="minorEastAsia"/>
                <w:sz w:val="21"/>
                <w:szCs w:val="20"/>
                <w:highlight w:val="none"/>
                <w:lang w:eastAsia="zh-CN"/>
              </w:rPr>
              <w:t xml:space="preserve"> 年 1 月 1 日以来同类项目业绩</w:t>
            </w:r>
          </w:p>
        </w:tc>
        <w:tc>
          <w:tcPr>
            <w:tcW w:w="6058" w:type="dxa"/>
            <w:vAlign w:val="center"/>
          </w:tcPr>
          <w:p>
            <w:pPr>
              <w:adjustRightInd w:val="0"/>
              <w:snapToGrid w:val="0"/>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每具有一个同类业绩得 </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 xml:space="preserve"> 分，本项最高得 </w:t>
            </w:r>
            <w:r>
              <w:rPr>
                <w:rFonts w:hint="eastAsia" w:cs="Times New Roman" w:asciiTheme="minorEastAsia" w:hAnsiTheme="minorEastAsia" w:eastAsiaTheme="minorEastAsia"/>
                <w:sz w:val="21"/>
                <w:szCs w:val="20"/>
                <w:highlight w:val="none"/>
                <w:lang w:val="en-US" w:eastAsia="zh-CN"/>
              </w:rPr>
              <w:t>8</w:t>
            </w:r>
            <w:r>
              <w:rPr>
                <w:rFonts w:hint="eastAsia" w:cs="Times New Roman" w:asciiTheme="minorEastAsia" w:hAnsiTheme="minorEastAsia" w:eastAsiaTheme="minorEastAsia"/>
                <w:sz w:val="21"/>
                <w:szCs w:val="20"/>
                <w:highlight w:val="none"/>
                <w:lang w:eastAsia="zh-CN"/>
              </w:rPr>
              <w:t xml:space="preserve">分。【注：须提供施工合同及竣工验收证明材料复印件加盖公章，同类业绩指房建工程业绩】 </w:t>
            </w:r>
          </w:p>
        </w:tc>
        <w:tc>
          <w:tcPr>
            <w:tcW w:w="102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default" w:eastAsia="宋体"/>
                <w:b w:val="0"/>
                <w:bCs/>
                <w:sz w:val="18"/>
                <w:szCs w:val="20"/>
                <w:highlight w:val="none"/>
                <w:lang w:val="en-US" w:eastAsia="zh-CN"/>
              </w:rPr>
            </w:pPr>
            <w:r>
              <w:rPr>
                <w:rFonts w:hint="eastAsia"/>
                <w:b w:val="0"/>
                <w:bCs/>
                <w:sz w:val="18"/>
                <w:szCs w:val="20"/>
                <w:highlight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721"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eastAsia" w:eastAsia="宋体"/>
                <w:b w:val="0"/>
                <w:bCs/>
                <w:sz w:val="18"/>
                <w:szCs w:val="20"/>
                <w:highlight w:val="none"/>
                <w:lang w:val="en-US" w:eastAsia="zh-CN"/>
              </w:rPr>
            </w:pPr>
            <w:r>
              <w:rPr>
                <w:rFonts w:hint="eastAsia"/>
                <w:b w:val="0"/>
                <w:bCs/>
                <w:sz w:val="18"/>
                <w:szCs w:val="20"/>
                <w:highlight w:val="none"/>
                <w:lang w:val="en-US" w:eastAsia="zh-CN"/>
              </w:rPr>
              <w:t>3</w:t>
            </w:r>
          </w:p>
        </w:tc>
        <w:tc>
          <w:tcPr>
            <w:tcW w:w="1616"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管理体系</w:t>
            </w:r>
          </w:p>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认证证书</w:t>
            </w:r>
          </w:p>
        </w:tc>
        <w:tc>
          <w:tcPr>
            <w:tcW w:w="6058" w:type="dxa"/>
            <w:vAlign w:val="center"/>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投标人具有有效期内的管理体系认证证书：</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1、具有质量管理体系认证（有效期内）；</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2、具有环境管理体系认证（有效期内）；</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3、具有职业健康安全管理体系认证（有效期内）；</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有以上三个得</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 xml:space="preserve"> 分，缺少一个扣</w:t>
            </w:r>
            <w:r>
              <w:rPr>
                <w:rFonts w:hint="eastAsia" w:cs="Times New Roman" w:asciiTheme="minorEastAsia" w:hAnsiTheme="minorEastAsia" w:eastAsiaTheme="minorEastAsia"/>
                <w:sz w:val="21"/>
                <w:szCs w:val="20"/>
                <w:highlight w:val="none"/>
                <w:lang w:val="en-US" w:eastAsia="zh-CN"/>
              </w:rPr>
              <w:t>0.5分，最低0分</w:t>
            </w:r>
            <w:r>
              <w:rPr>
                <w:rFonts w:hint="eastAsia" w:cs="Times New Roman" w:asciiTheme="minorEastAsia" w:hAnsiTheme="minorEastAsia" w:eastAsiaTheme="minorEastAsia"/>
                <w:sz w:val="21"/>
                <w:szCs w:val="20"/>
                <w:highlight w:val="none"/>
                <w:lang w:eastAsia="zh-CN"/>
              </w:rPr>
              <w:t>。</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注：提供以上证明材料复印件加盖公章，不提供或不满足要求不得分。</w:t>
            </w:r>
          </w:p>
        </w:tc>
        <w:tc>
          <w:tcPr>
            <w:tcW w:w="102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default"/>
                <w:b w:val="0"/>
                <w:bCs/>
                <w:sz w:val="18"/>
                <w:szCs w:val="20"/>
                <w:highlight w:val="none"/>
                <w:lang w:val="en-US" w:eastAsia="zh-CN"/>
              </w:rPr>
            </w:pPr>
            <w:r>
              <w:rPr>
                <w:rFonts w:hint="eastAsia"/>
                <w:b w:val="0"/>
                <w:bCs/>
                <w:sz w:val="18"/>
                <w:szCs w:val="20"/>
                <w:highlight w:val="none"/>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721"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default"/>
                <w:b w:val="0"/>
                <w:bCs/>
                <w:sz w:val="18"/>
                <w:szCs w:val="20"/>
                <w:highlight w:val="none"/>
                <w:lang w:val="en-US" w:eastAsia="zh-CN"/>
              </w:rPr>
            </w:pPr>
            <w:r>
              <w:rPr>
                <w:rFonts w:hint="eastAsia"/>
                <w:b w:val="0"/>
                <w:bCs/>
                <w:sz w:val="18"/>
                <w:szCs w:val="20"/>
                <w:highlight w:val="none"/>
                <w:lang w:val="en-US" w:eastAsia="zh-CN"/>
              </w:rPr>
              <w:t>4</w:t>
            </w:r>
          </w:p>
        </w:tc>
        <w:tc>
          <w:tcPr>
            <w:tcW w:w="1616"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ascii="宋体" w:hAnsi="宋体" w:eastAsia="宋体" w:cs="宋体"/>
                <w:color w:val="auto"/>
                <w:sz w:val="21"/>
                <w:szCs w:val="21"/>
                <w:highlight w:val="none"/>
              </w:rPr>
              <w:t>守合同重信用</w:t>
            </w:r>
          </w:p>
        </w:tc>
        <w:tc>
          <w:tcPr>
            <w:tcW w:w="6058" w:type="dxa"/>
            <w:vAlign w:val="center"/>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1.投标人至最近评审年度连续</w:t>
            </w:r>
            <w:r>
              <w:rPr>
                <w:rFonts w:hint="eastAsia" w:cs="Times New Roman" w:asciiTheme="minorEastAsia" w:hAnsiTheme="minorEastAsia" w:eastAsiaTheme="minorEastAsia"/>
                <w:sz w:val="21"/>
                <w:szCs w:val="20"/>
                <w:highlight w:val="none"/>
                <w:lang w:val="en-US" w:eastAsia="zh-CN"/>
              </w:rPr>
              <w:t>10</w:t>
            </w:r>
            <w:r>
              <w:rPr>
                <w:rFonts w:hint="eastAsia" w:cs="Times New Roman" w:asciiTheme="minorEastAsia" w:hAnsiTheme="minorEastAsia" w:eastAsiaTheme="minorEastAsia"/>
                <w:sz w:val="21"/>
                <w:szCs w:val="20"/>
                <w:highlight w:val="none"/>
                <w:lang w:eastAsia="zh-CN"/>
              </w:rPr>
              <w:t>年以上（含</w:t>
            </w:r>
            <w:r>
              <w:rPr>
                <w:rFonts w:hint="eastAsia" w:cs="Times New Roman" w:asciiTheme="minorEastAsia" w:hAnsiTheme="minorEastAsia" w:eastAsiaTheme="minorEastAsia"/>
                <w:sz w:val="21"/>
                <w:szCs w:val="20"/>
                <w:highlight w:val="none"/>
                <w:lang w:val="en-US" w:eastAsia="zh-CN"/>
              </w:rPr>
              <w:t>10</w:t>
            </w:r>
            <w:r>
              <w:rPr>
                <w:rFonts w:hint="eastAsia" w:cs="Times New Roman" w:asciiTheme="minorEastAsia" w:hAnsiTheme="minorEastAsia" w:eastAsiaTheme="minorEastAsia"/>
                <w:sz w:val="21"/>
                <w:szCs w:val="20"/>
                <w:highlight w:val="none"/>
                <w:lang w:eastAsia="zh-CN"/>
              </w:rPr>
              <w:t>年）获得市级或省级工商（市场）监管部门颁发的、或市级（或省级）工商（市场）监管部门主管的行业协会颁发的“守合同重信用”证书的，得</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2.投标人至最近评审年度连续</w:t>
            </w:r>
            <w:r>
              <w:rPr>
                <w:rFonts w:hint="eastAsia" w:cs="Times New Roman" w:asciiTheme="minorEastAsia" w:hAnsiTheme="minorEastAsia" w:eastAsiaTheme="minorEastAsia"/>
                <w:sz w:val="21"/>
                <w:szCs w:val="20"/>
                <w:highlight w:val="none"/>
                <w:lang w:val="en-US" w:eastAsia="zh-CN"/>
              </w:rPr>
              <w:t>5</w:t>
            </w:r>
            <w:r>
              <w:rPr>
                <w:rFonts w:hint="eastAsia" w:cs="Times New Roman" w:asciiTheme="minorEastAsia" w:hAnsiTheme="minorEastAsia" w:eastAsiaTheme="minorEastAsia"/>
                <w:sz w:val="21"/>
                <w:szCs w:val="20"/>
                <w:highlight w:val="none"/>
                <w:lang w:eastAsia="zh-CN"/>
              </w:rPr>
              <w:t>-</w:t>
            </w:r>
            <w:r>
              <w:rPr>
                <w:rFonts w:hint="eastAsia" w:cs="Times New Roman" w:asciiTheme="minorEastAsia" w:hAnsiTheme="minorEastAsia" w:eastAsiaTheme="minorEastAsia"/>
                <w:sz w:val="21"/>
                <w:szCs w:val="20"/>
                <w:highlight w:val="none"/>
                <w:lang w:val="en-US" w:eastAsia="zh-CN"/>
              </w:rPr>
              <w:t>9</w:t>
            </w:r>
            <w:r>
              <w:rPr>
                <w:rFonts w:hint="eastAsia" w:cs="Times New Roman" w:asciiTheme="minorEastAsia" w:hAnsiTheme="minorEastAsia" w:eastAsiaTheme="minorEastAsia"/>
                <w:sz w:val="21"/>
                <w:szCs w:val="20"/>
                <w:highlight w:val="none"/>
                <w:lang w:eastAsia="zh-CN"/>
              </w:rPr>
              <w:t>年获得市级或省级工商（市场）监管部门颁发的、或市级（或省级)工商（市场）监管部门主管的行业协会颁发的“守合同重信用”证书的，得</w:t>
            </w:r>
            <w:r>
              <w:rPr>
                <w:rFonts w:hint="eastAsia" w:cs="Times New Roman" w:asciiTheme="minorEastAsia" w:hAnsiTheme="minorEastAsia" w:eastAsiaTheme="minorEastAsia"/>
                <w:sz w:val="21"/>
                <w:szCs w:val="20"/>
                <w:highlight w:val="none"/>
                <w:lang w:val="en-US" w:eastAsia="zh-CN"/>
              </w:rPr>
              <w:t>0.6</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3.投标人至最近评审年度连续</w:t>
            </w:r>
            <w:r>
              <w:rPr>
                <w:rFonts w:hint="eastAsia" w:cs="Times New Roman" w:asciiTheme="minorEastAsia" w:hAnsiTheme="minorEastAsia" w:eastAsiaTheme="minorEastAsia"/>
                <w:sz w:val="21"/>
                <w:szCs w:val="20"/>
                <w:highlight w:val="none"/>
                <w:lang w:val="en-US" w:eastAsia="zh-CN"/>
              </w:rPr>
              <w:t>4</w:t>
            </w:r>
            <w:r>
              <w:rPr>
                <w:rFonts w:hint="eastAsia" w:cs="Times New Roman" w:asciiTheme="minorEastAsia" w:hAnsiTheme="minorEastAsia" w:eastAsiaTheme="minorEastAsia"/>
                <w:sz w:val="21"/>
                <w:szCs w:val="20"/>
                <w:highlight w:val="none"/>
                <w:lang w:eastAsia="zh-CN"/>
              </w:rPr>
              <w:t>年（或以下）获得市级或省级工商（市场）监管部门颁发的、或市级（或省级)工商（市场）监管部门主管的行业协会颁发的“守合同重信用”证书的，得</w:t>
            </w:r>
            <w:r>
              <w:rPr>
                <w:rFonts w:hint="eastAsia" w:cs="Times New Roman" w:asciiTheme="minorEastAsia" w:hAnsiTheme="minorEastAsia" w:eastAsiaTheme="minorEastAsia"/>
                <w:sz w:val="21"/>
                <w:szCs w:val="20"/>
                <w:highlight w:val="none"/>
                <w:lang w:val="en-US" w:eastAsia="zh-CN"/>
              </w:rPr>
              <w:t>0.3</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4.不满足以上条件者，得0分。</w:t>
            </w:r>
          </w:p>
        </w:tc>
        <w:tc>
          <w:tcPr>
            <w:tcW w:w="102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default"/>
                <w:b w:val="0"/>
                <w:bCs/>
                <w:sz w:val="18"/>
                <w:szCs w:val="20"/>
                <w:highlight w:val="none"/>
                <w:lang w:val="en-US" w:eastAsia="zh-CN"/>
              </w:rPr>
            </w:pPr>
            <w:r>
              <w:rPr>
                <w:rFonts w:hint="eastAsia"/>
                <w:b w:val="0"/>
                <w:bCs/>
                <w:sz w:val="18"/>
                <w:szCs w:val="20"/>
                <w:highlight w:val="none"/>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8395" w:type="dxa"/>
            <w:gridSpan w:val="3"/>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合 计</w:t>
            </w:r>
          </w:p>
        </w:tc>
        <w:tc>
          <w:tcPr>
            <w:tcW w:w="1025"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default" w:eastAsia="宋体"/>
                <w:b w:val="0"/>
                <w:bCs/>
                <w:sz w:val="18"/>
                <w:szCs w:val="20"/>
                <w:highlight w:val="none"/>
                <w:lang w:val="en-US" w:eastAsia="zh-CN"/>
              </w:rPr>
            </w:pPr>
            <w:r>
              <w:rPr>
                <w:rFonts w:hint="eastAsia"/>
                <w:b w:val="0"/>
                <w:bCs/>
                <w:sz w:val="18"/>
                <w:szCs w:val="20"/>
                <w:highlight w:val="none"/>
                <w:lang w:val="en-US" w:eastAsia="zh-CN"/>
              </w:rPr>
              <w:t>15</w:t>
            </w:r>
          </w:p>
        </w:tc>
      </w:tr>
    </w:tbl>
    <w:p>
      <w:pPr>
        <w:rPr>
          <w:highlight w:val="none"/>
        </w:rPr>
      </w:pPr>
      <w:r>
        <w:rPr>
          <w:highlight w:val="none"/>
        </w:rPr>
        <w:br w:type="page"/>
      </w:r>
    </w:p>
    <w:p>
      <w:pPr>
        <w:pStyle w:val="2"/>
        <w:rPr>
          <w:highlight w:val="none"/>
        </w:rPr>
      </w:pPr>
    </w:p>
    <w:p>
      <w:pPr>
        <w:pStyle w:val="3"/>
        <w:spacing w:before="1"/>
        <w:ind w:right="1385" w:firstLine="622" w:firstLineChars="200"/>
        <w:rPr>
          <w:color w:val="FF0000"/>
          <w:w w:val="99"/>
          <w:sz w:val="21"/>
          <w:highlight w:val="none"/>
        </w:rPr>
      </w:pPr>
      <w:r>
        <w:rPr>
          <w:highlight w:val="none"/>
        </w:rPr>
        <w:t>技术评审部分</w:t>
      </w:r>
      <w:r>
        <w:rPr>
          <w:color w:val="FF0000"/>
          <w:w w:val="99"/>
          <w:sz w:val="21"/>
          <w:highlight w:val="none"/>
        </w:rPr>
        <w:t xml:space="preserve"> </w:t>
      </w:r>
    </w:p>
    <w:tbl>
      <w:tblPr>
        <w:tblStyle w:val="16"/>
        <w:tblW w:w="0" w:type="auto"/>
        <w:tblInd w:w="2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6"/>
        <w:gridCol w:w="1129"/>
        <w:gridCol w:w="6929"/>
        <w:gridCol w:w="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64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序号</w:t>
            </w:r>
          </w:p>
        </w:tc>
        <w:tc>
          <w:tcPr>
            <w:tcW w:w="1129"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评审项目</w:t>
            </w:r>
          </w:p>
        </w:tc>
        <w:tc>
          <w:tcPr>
            <w:tcW w:w="6929"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评审内容</w:t>
            </w:r>
          </w:p>
        </w:tc>
        <w:tc>
          <w:tcPr>
            <w:tcW w:w="804" w:type="dxa"/>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分值</w:t>
            </w:r>
          </w:p>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 xml:space="preserve">（分）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8" w:hRule="atLeast"/>
        </w:trPr>
        <w:tc>
          <w:tcPr>
            <w:tcW w:w="64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b w:val="0"/>
                <w:bCs/>
                <w:sz w:val="18"/>
                <w:szCs w:val="20"/>
                <w:highlight w:val="none"/>
              </w:rPr>
            </w:pPr>
            <w:r>
              <w:rPr>
                <w:b w:val="0"/>
                <w:bCs/>
                <w:sz w:val="18"/>
                <w:szCs w:val="20"/>
                <w:highlight w:val="none"/>
              </w:rPr>
              <w:t>1</w:t>
            </w:r>
          </w:p>
        </w:tc>
        <w:tc>
          <w:tcPr>
            <w:tcW w:w="1129"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服务方案和响应情况</w:t>
            </w:r>
          </w:p>
        </w:tc>
        <w:tc>
          <w:tcPr>
            <w:tcW w:w="6929" w:type="dxa"/>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优秀（服务方案完善，熟悉招标人项目情况，方案与招标人情况贴切，在接到招标人的需求后响应时间快，工作安排合理妥当），得 </w:t>
            </w:r>
            <w:r>
              <w:rPr>
                <w:rFonts w:hint="eastAsia" w:cs="Times New Roman" w:asciiTheme="minorEastAsia" w:hAnsiTheme="minorEastAsia" w:eastAsiaTheme="minorEastAsia"/>
                <w:sz w:val="21"/>
                <w:szCs w:val="20"/>
                <w:highlight w:val="none"/>
                <w:lang w:val="en-US" w:eastAsia="zh-CN"/>
              </w:rPr>
              <w:t>5</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良好（服务方案较完善，较熟悉招标人项目情况，方案与招标人情况贴切，在接到招标人的需求后响应时间较快，工作安排较合理妥当），得</w:t>
            </w:r>
            <w:r>
              <w:rPr>
                <w:rFonts w:hint="eastAsia" w:cs="Times New Roman" w:asciiTheme="minorEastAsia" w:hAnsiTheme="minorEastAsia" w:eastAsiaTheme="minorEastAsia"/>
                <w:sz w:val="21"/>
                <w:szCs w:val="20"/>
                <w:highlight w:val="none"/>
                <w:lang w:val="en-US" w:eastAsia="zh-CN"/>
              </w:rPr>
              <w:t>3</w:t>
            </w:r>
            <w:r>
              <w:rPr>
                <w:rFonts w:hint="eastAsia" w:cs="Times New Roman" w:asciiTheme="minorEastAsia" w:hAnsiTheme="minorEastAsia" w:eastAsiaTheme="minorEastAsia"/>
                <w:sz w:val="21"/>
                <w:szCs w:val="20"/>
                <w:highlight w:val="none"/>
                <w:lang w:eastAsia="zh-CN"/>
              </w:rPr>
              <w:t xml:space="preserve"> 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一般（服务方案一般，不太熟悉招标人项目情况，方案与招标人情况不够贴切，在接到招标人的需求后响应时间一般，工作安排一般），得</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较差（服务方案不完善，与招标实现情况不符，响应时间慢，工作安排差），得 </w:t>
            </w:r>
            <w:r>
              <w:rPr>
                <w:rFonts w:hint="eastAsia" w:cs="Times New Roman" w:asciiTheme="minorEastAsia" w:hAnsiTheme="minorEastAsia" w:eastAsiaTheme="minorEastAsia"/>
                <w:sz w:val="21"/>
                <w:szCs w:val="20"/>
                <w:highlight w:val="none"/>
                <w:lang w:val="en-US" w:eastAsia="zh-CN"/>
              </w:rPr>
              <w:t>0</w:t>
            </w:r>
            <w:r>
              <w:rPr>
                <w:rFonts w:hint="eastAsia" w:cs="Times New Roman" w:asciiTheme="minorEastAsia" w:hAnsiTheme="minorEastAsia" w:eastAsiaTheme="minorEastAsia"/>
                <w:sz w:val="21"/>
                <w:szCs w:val="20"/>
                <w:highlight w:val="none"/>
                <w:lang w:eastAsia="zh-CN"/>
              </w:rPr>
              <w:t xml:space="preserve"> 分。 </w:t>
            </w:r>
          </w:p>
        </w:tc>
        <w:tc>
          <w:tcPr>
            <w:tcW w:w="8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0" w:hRule="atLeast"/>
        </w:trPr>
        <w:tc>
          <w:tcPr>
            <w:tcW w:w="64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eastAsia" w:eastAsia="宋体"/>
                <w:b w:val="0"/>
                <w:bCs/>
                <w:sz w:val="18"/>
                <w:szCs w:val="20"/>
                <w:highlight w:val="none"/>
                <w:lang w:val="en-US" w:eastAsia="zh-CN"/>
              </w:rPr>
            </w:pPr>
            <w:r>
              <w:rPr>
                <w:rFonts w:hint="eastAsia"/>
                <w:b w:val="0"/>
                <w:bCs/>
                <w:sz w:val="18"/>
                <w:szCs w:val="20"/>
                <w:highlight w:val="none"/>
                <w:lang w:val="en-US" w:eastAsia="zh-CN"/>
              </w:rPr>
              <w:t>2</w:t>
            </w:r>
          </w:p>
        </w:tc>
        <w:tc>
          <w:tcPr>
            <w:tcW w:w="1129"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企业规模、实力</w:t>
            </w:r>
          </w:p>
        </w:tc>
        <w:tc>
          <w:tcPr>
            <w:tcW w:w="6929" w:type="dxa"/>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优秀（施工设施配备数量充足、种类齐全），得</w:t>
            </w:r>
            <w:r>
              <w:rPr>
                <w:rFonts w:hint="eastAsia" w:cs="Times New Roman" w:asciiTheme="minorEastAsia" w:hAnsiTheme="minorEastAsia" w:eastAsiaTheme="minorEastAsia"/>
                <w:sz w:val="21"/>
                <w:szCs w:val="20"/>
                <w:highlight w:val="none"/>
                <w:lang w:val="en-US" w:eastAsia="zh-CN"/>
              </w:rPr>
              <w:t>5</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良好（施工设施配备数量较充足、种类较齐全），得</w:t>
            </w:r>
            <w:r>
              <w:rPr>
                <w:rFonts w:hint="eastAsia" w:cs="Times New Roman" w:asciiTheme="minorEastAsia" w:hAnsiTheme="minorEastAsia" w:eastAsiaTheme="minorEastAsia"/>
                <w:sz w:val="21"/>
                <w:szCs w:val="20"/>
                <w:highlight w:val="none"/>
                <w:lang w:val="en-US" w:eastAsia="zh-CN"/>
              </w:rPr>
              <w:t>3</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一般（施工设施配备数量基本充足、种类勉强够用），得</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default" w:cs="Times New Roman" w:asciiTheme="minorEastAsia" w:hAnsiTheme="minorEastAsia" w:eastAsiaTheme="minorEastAsia"/>
                <w:sz w:val="21"/>
                <w:szCs w:val="20"/>
                <w:highlight w:val="none"/>
                <w:lang w:val="en-US" w:eastAsia="zh-CN"/>
              </w:rPr>
            </w:pPr>
            <w:r>
              <w:rPr>
                <w:rFonts w:hint="eastAsia" w:cs="Times New Roman" w:asciiTheme="minorEastAsia" w:hAnsiTheme="minorEastAsia" w:eastAsiaTheme="minorEastAsia"/>
                <w:sz w:val="21"/>
                <w:szCs w:val="20"/>
                <w:highlight w:val="none"/>
                <w:lang w:eastAsia="zh-CN"/>
              </w:rPr>
              <w:t>较差（施工设施配备数量不充足、种类不能满足项目需要），得</w:t>
            </w:r>
            <w:r>
              <w:rPr>
                <w:rFonts w:hint="eastAsia" w:cs="Times New Roman" w:asciiTheme="minorEastAsia" w:hAnsiTheme="minorEastAsia" w:eastAsiaTheme="minorEastAsia"/>
                <w:sz w:val="21"/>
                <w:szCs w:val="20"/>
                <w:highlight w:val="none"/>
                <w:lang w:val="en-US" w:eastAsia="zh-CN"/>
              </w:rPr>
              <w:t>0分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备注：具备相应的可在本项目使用的仪器设备（如为自有，则应提供购置发票；如为租赁，则应提供租赁合同，未提供证明材料不得分。）</w:t>
            </w:r>
          </w:p>
        </w:tc>
        <w:tc>
          <w:tcPr>
            <w:tcW w:w="8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default"/>
                <w:b w:val="0"/>
                <w:bCs/>
                <w:sz w:val="18"/>
                <w:szCs w:val="20"/>
                <w:highlight w:val="none"/>
                <w:lang w:val="en-US" w:eastAsia="zh-CN"/>
              </w:rPr>
            </w:pPr>
            <w:r>
              <w:rPr>
                <w:rFonts w:hint="eastAsia"/>
                <w:b w:val="0"/>
                <w:bCs/>
                <w:sz w:val="18"/>
                <w:szCs w:val="20"/>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64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val="en-US" w:eastAsia="zh-CN"/>
              </w:rPr>
              <w:t>3</w:t>
            </w:r>
          </w:p>
        </w:tc>
        <w:tc>
          <w:tcPr>
            <w:tcW w:w="1129"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施工进度计划，包括各项准备工作，以及进度保证措施</w:t>
            </w:r>
          </w:p>
        </w:tc>
        <w:tc>
          <w:tcPr>
            <w:tcW w:w="6929" w:type="dxa"/>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优秀（计划安排完全合理，各项准备工作计划完善，工作进度快，项目质量有保证），得 </w:t>
            </w:r>
            <w:r>
              <w:rPr>
                <w:rFonts w:hint="eastAsia" w:cs="Times New Roman" w:asciiTheme="minorEastAsia" w:hAnsiTheme="minorEastAsia" w:eastAsiaTheme="minorEastAsia"/>
                <w:sz w:val="21"/>
                <w:szCs w:val="20"/>
                <w:highlight w:val="none"/>
                <w:lang w:val="en-US" w:eastAsia="zh-CN"/>
              </w:rPr>
              <w:t>5</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良好（计划安排合理，各项准备工作计划完善，工作进度较快，项目质量有保证），得</w:t>
            </w:r>
            <w:r>
              <w:rPr>
                <w:rFonts w:hint="eastAsia" w:cs="Times New Roman" w:asciiTheme="minorEastAsia" w:hAnsiTheme="minorEastAsia" w:eastAsiaTheme="minorEastAsia"/>
                <w:sz w:val="21"/>
                <w:szCs w:val="20"/>
                <w:highlight w:val="none"/>
                <w:lang w:val="en-US" w:eastAsia="zh-CN"/>
              </w:rPr>
              <w:t>3</w:t>
            </w:r>
            <w:r>
              <w:rPr>
                <w:rFonts w:hint="eastAsia" w:cs="Times New Roman" w:asciiTheme="minorEastAsia" w:hAnsiTheme="minorEastAsia" w:eastAsiaTheme="minorEastAsia"/>
                <w:sz w:val="21"/>
                <w:szCs w:val="20"/>
                <w:highlight w:val="none"/>
                <w:lang w:eastAsia="zh-CN"/>
              </w:rPr>
              <w:t xml:space="preserve"> 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一般（计划安排基本合理，各项准备工作计划基本完善，工作进度一般），得</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较差（计划安排不合理，各项准备工作计划不完善，工作进度慢），得 </w:t>
            </w:r>
            <w:r>
              <w:rPr>
                <w:rFonts w:hint="eastAsia" w:cs="Times New Roman" w:asciiTheme="minorEastAsia" w:hAnsiTheme="minorEastAsia" w:eastAsiaTheme="minorEastAsia"/>
                <w:sz w:val="21"/>
                <w:szCs w:val="20"/>
                <w:highlight w:val="none"/>
                <w:lang w:val="en-US" w:eastAsia="zh-CN"/>
              </w:rPr>
              <w:t>0</w:t>
            </w:r>
            <w:r>
              <w:rPr>
                <w:rFonts w:hint="eastAsia" w:cs="Times New Roman" w:asciiTheme="minorEastAsia" w:hAnsiTheme="minorEastAsia" w:eastAsiaTheme="minorEastAsia"/>
                <w:sz w:val="21"/>
                <w:szCs w:val="20"/>
                <w:highlight w:val="none"/>
                <w:lang w:eastAsia="zh-CN"/>
              </w:rPr>
              <w:t xml:space="preserve">分。 </w:t>
            </w:r>
          </w:p>
        </w:tc>
        <w:tc>
          <w:tcPr>
            <w:tcW w:w="8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64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val="en-US" w:eastAsia="zh-CN"/>
              </w:rPr>
              <w:t>4</w:t>
            </w:r>
          </w:p>
        </w:tc>
        <w:tc>
          <w:tcPr>
            <w:tcW w:w="1129"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安全文明生产措施方案</w:t>
            </w:r>
          </w:p>
        </w:tc>
        <w:tc>
          <w:tcPr>
            <w:tcW w:w="6929" w:type="dxa"/>
            <w:vAlign w:val="top"/>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优秀（为本项目配置专职安全员，安全文明生产保证措施明确、各项措施切实），得</w:t>
            </w:r>
            <w:r>
              <w:rPr>
                <w:rFonts w:hint="eastAsia" w:cs="Times New Roman" w:asciiTheme="minorEastAsia" w:hAnsiTheme="minorEastAsia" w:eastAsiaTheme="minorEastAsia"/>
                <w:sz w:val="21"/>
                <w:szCs w:val="20"/>
                <w:highlight w:val="none"/>
                <w:lang w:val="en-US" w:eastAsia="zh-CN"/>
              </w:rPr>
              <w:t>3</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良好（为本项目配置专职安全员，安全措施较合理有保证措施），得 </w:t>
            </w:r>
            <w:r>
              <w:rPr>
                <w:rFonts w:hint="eastAsia" w:cs="Times New Roman" w:asciiTheme="minorEastAsia" w:hAnsiTheme="minorEastAsia" w:eastAsiaTheme="minorEastAsia"/>
                <w:sz w:val="21"/>
                <w:szCs w:val="20"/>
                <w:highlight w:val="none"/>
                <w:lang w:val="en-US" w:eastAsia="zh-CN"/>
              </w:rPr>
              <w:t>2</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一般（安全措施简单、对各界面施工及安全保证措施不充分），得 </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较差（缺少安全措施、对各界面施工及安全保证措施不充分），得 0 分。 </w:t>
            </w:r>
          </w:p>
        </w:tc>
        <w:tc>
          <w:tcPr>
            <w:tcW w:w="8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64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val="en-US" w:eastAsia="zh-CN"/>
              </w:rPr>
              <w:t>5</w:t>
            </w:r>
          </w:p>
        </w:tc>
        <w:tc>
          <w:tcPr>
            <w:tcW w:w="1129"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项目实施组织方案</w:t>
            </w:r>
          </w:p>
        </w:tc>
        <w:tc>
          <w:tcPr>
            <w:tcW w:w="6929" w:type="dxa"/>
            <w:vAlign w:val="top"/>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优秀（方法及技术措施考虑全面、具体、可行、可靠，针对性好），得 5 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良好（方法及技术措施考虑较全面、较可行、较可靠），得 3分；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一般（方法及技术措施相对简单），得 </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 xml:space="preserve">较差（缺少方法及技术措施或相对简陋），得 0 分。 </w:t>
            </w:r>
          </w:p>
        </w:tc>
        <w:tc>
          <w:tcPr>
            <w:tcW w:w="8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jc w:val="center"/>
              <w:textAlignment w:val="auto"/>
              <w:rPr>
                <w:b w:val="0"/>
                <w:bCs/>
                <w:sz w:val="18"/>
                <w:szCs w:val="20"/>
                <w:highlight w:val="none"/>
              </w:rPr>
            </w:pPr>
            <w:r>
              <w:rPr>
                <w:b w:val="0"/>
                <w:bCs/>
                <w:sz w:val="18"/>
                <w:szCs w:val="20"/>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646"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eastAsia="宋体"/>
                <w:b w:val="0"/>
                <w:bCs/>
                <w:sz w:val="18"/>
                <w:szCs w:val="20"/>
                <w:highlight w:val="none"/>
                <w:lang w:val="en-US" w:eastAsia="zh-CN"/>
              </w:rPr>
            </w:pPr>
            <w:r>
              <w:rPr>
                <w:rFonts w:hint="eastAsia"/>
                <w:b w:val="0"/>
                <w:bCs/>
                <w:sz w:val="18"/>
                <w:szCs w:val="20"/>
                <w:highlight w:val="none"/>
                <w:lang w:val="en-US" w:eastAsia="zh-CN"/>
              </w:rPr>
              <w:t>6</w:t>
            </w:r>
          </w:p>
        </w:tc>
        <w:tc>
          <w:tcPr>
            <w:tcW w:w="1129" w:type="dxa"/>
            <w:vAlign w:val="center"/>
          </w:tcPr>
          <w:p>
            <w:pPr>
              <w:adjustRightInd w:val="0"/>
              <w:snapToGrid w:val="0"/>
              <w:jc w:val="center"/>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b w:val="0"/>
                <w:bCs w:val="0"/>
                <w:sz w:val="21"/>
                <w:szCs w:val="20"/>
                <w:highlight w:val="none"/>
                <w:lang w:val="en-US" w:eastAsia="zh-CN"/>
              </w:rPr>
              <w:t>应急响应方案</w:t>
            </w:r>
          </w:p>
        </w:tc>
        <w:tc>
          <w:tcPr>
            <w:tcW w:w="6929" w:type="dxa"/>
            <w:vAlign w:val="top"/>
          </w:tcPr>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优秀（</w:t>
            </w:r>
            <w:r>
              <w:rPr>
                <w:rFonts w:hint="eastAsia" w:cs="Times New Roman" w:asciiTheme="minorEastAsia" w:hAnsiTheme="minorEastAsia" w:eastAsiaTheme="minorEastAsia"/>
                <w:sz w:val="21"/>
                <w:szCs w:val="20"/>
                <w:highlight w:val="none"/>
                <w:lang w:val="en-US" w:eastAsia="zh-CN"/>
              </w:rPr>
              <w:t>应急响应方案</w:t>
            </w:r>
            <w:r>
              <w:rPr>
                <w:rFonts w:hint="eastAsia" w:cs="Times New Roman" w:asciiTheme="minorEastAsia" w:hAnsiTheme="minorEastAsia" w:eastAsiaTheme="minorEastAsia"/>
                <w:sz w:val="21"/>
                <w:szCs w:val="20"/>
                <w:highlight w:val="none"/>
                <w:lang w:eastAsia="zh-CN"/>
              </w:rPr>
              <w:t>考虑全面、具体、可行、可靠，针对性好），得</w:t>
            </w:r>
            <w:r>
              <w:rPr>
                <w:rFonts w:hint="eastAsia" w:cs="Times New Roman" w:asciiTheme="minorEastAsia" w:hAnsiTheme="minorEastAsia" w:eastAsiaTheme="minorEastAsia"/>
                <w:sz w:val="21"/>
                <w:szCs w:val="20"/>
                <w:highlight w:val="none"/>
                <w:lang w:val="en-US" w:eastAsia="zh-CN"/>
              </w:rPr>
              <w:t>2</w:t>
            </w:r>
            <w:r>
              <w:rPr>
                <w:rFonts w:hint="eastAsia" w:cs="Times New Roman" w:asciiTheme="minorEastAsia" w:hAnsiTheme="minorEastAsia" w:eastAsiaTheme="minorEastAsia"/>
                <w:sz w:val="21"/>
                <w:szCs w:val="20"/>
                <w:highlight w:val="none"/>
                <w:lang w:eastAsia="zh-CN"/>
              </w:rPr>
              <w:t>分；</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良好（</w:t>
            </w:r>
            <w:r>
              <w:rPr>
                <w:rFonts w:hint="eastAsia" w:cs="Times New Roman" w:asciiTheme="minorEastAsia" w:hAnsiTheme="minorEastAsia" w:eastAsiaTheme="minorEastAsia"/>
                <w:sz w:val="21"/>
                <w:szCs w:val="20"/>
                <w:highlight w:val="none"/>
                <w:lang w:val="en-US" w:eastAsia="zh-CN"/>
              </w:rPr>
              <w:t>应急响应方案</w:t>
            </w:r>
            <w:r>
              <w:rPr>
                <w:rFonts w:hint="eastAsia" w:cs="Times New Roman" w:asciiTheme="minorEastAsia" w:hAnsiTheme="minorEastAsia" w:eastAsiaTheme="minorEastAsia"/>
                <w:sz w:val="21"/>
                <w:szCs w:val="20"/>
                <w:highlight w:val="none"/>
                <w:lang w:eastAsia="zh-CN"/>
              </w:rPr>
              <w:t>考虑较全面、较可行、较可靠），得</w:t>
            </w:r>
            <w:r>
              <w:rPr>
                <w:rFonts w:hint="eastAsia" w:cs="Times New Roman" w:asciiTheme="minorEastAsia" w:hAnsiTheme="minorEastAsia" w:eastAsiaTheme="minorEastAsia"/>
                <w:sz w:val="21"/>
                <w:szCs w:val="20"/>
                <w:highlight w:val="none"/>
                <w:lang w:val="en-US" w:eastAsia="zh-CN"/>
              </w:rPr>
              <w:t>1</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一般（</w:t>
            </w:r>
            <w:r>
              <w:rPr>
                <w:rFonts w:hint="eastAsia" w:cs="Times New Roman" w:asciiTheme="minorEastAsia" w:hAnsiTheme="minorEastAsia" w:eastAsiaTheme="minorEastAsia"/>
                <w:sz w:val="21"/>
                <w:szCs w:val="20"/>
                <w:highlight w:val="none"/>
                <w:lang w:val="en-US" w:eastAsia="zh-CN"/>
              </w:rPr>
              <w:t>应急响应方案</w:t>
            </w:r>
            <w:r>
              <w:rPr>
                <w:rFonts w:hint="eastAsia" w:cs="Times New Roman" w:asciiTheme="minorEastAsia" w:hAnsiTheme="minorEastAsia" w:eastAsiaTheme="minorEastAsia"/>
                <w:sz w:val="21"/>
                <w:szCs w:val="20"/>
                <w:highlight w:val="none"/>
                <w:lang w:eastAsia="zh-CN"/>
              </w:rPr>
              <w:t>相对简单），得</w:t>
            </w:r>
            <w:r>
              <w:rPr>
                <w:rFonts w:hint="eastAsia" w:cs="Times New Roman" w:asciiTheme="minorEastAsia" w:hAnsiTheme="minorEastAsia" w:eastAsiaTheme="minorEastAsia"/>
                <w:sz w:val="21"/>
                <w:szCs w:val="20"/>
                <w:highlight w:val="none"/>
                <w:lang w:val="en-US" w:eastAsia="zh-CN"/>
              </w:rPr>
              <w:t>0.5</w:t>
            </w:r>
            <w:r>
              <w:rPr>
                <w:rFonts w:hint="eastAsia" w:cs="Times New Roman" w:asciiTheme="minorEastAsia" w:hAnsiTheme="minorEastAsia" w:eastAsiaTheme="minorEastAsia"/>
                <w:sz w:val="21"/>
                <w:szCs w:val="20"/>
                <w:highlight w:val="none"/>
                <w:lang w:eastAsia="zh-CN"/>
              </w:rPr>
              <w:t xml:space="preserve">分； </w:t>
            </w:r>
          </w:p>
          <w:p>
            <w:pPr>
              <w:adjustRightInd/>
              <w:snapToGrid/>
              <w:ind w:left="-11" w:leftChars="-5" w:right="-68" w:rightChars="-31" w:firstLine="12" w:firstLineChars="6"/>
              <w:rPr>
                <w:rFonts w:hint="eastAsia" w:cs="Times New Roman" w:asciiTheme="minorEastAsia" w:hAnsiTheme="minorEastAsia" w:eastAsiaTheme="minorEastAsia"/>
                <w:sz w:val="21"/>
                <w:szCs w:val="20"/>
                <w:highlight w:val="none"/>
                <w:lang w:eastAsia="zh-CN"/>
              </w:rPr>
            </w:pPr>
            <w:r>
              <w:rPr>
                <w:rFonts w:hint="eastAsia" w:cs="Times New Roman" w:asciiTheme="minorEastAsia" w:hAnsiTheme="minorEastAsia" w:eastAsiaTheme="minorEastAsia"/>
                <w:sz w:val="21"/>
                <w:szCs w:val="20"/>
                <w:highlight w:val="none"/>
                <w:lang w:eastAsia="zh-CN"/>
              </w:rPr>
              <w:t>较差（缺少</w:t>
            </w:r>
            <w:r>
              <w:rPr>
                <w:rFonts w:hint="eastAsia" w:cs="Times New Roman" w:asciiTheme="minorEastAsia" w:hAnsiTheme="minorEastAsia" w:eastAsiaTheme="minorEastAsia"/>
                <w:sz w:val="21"/>
                <w:szCs w:val="20"/>
                <w:highlight w:val="none"/>
                <w:lang w:val="en-US" w:eastAsia="zh-CN"/>
              </w:rPr>
              <w:t>应急响应方案</w:t>
            </w:r>
            <w:r>
              <w:rPr>
                <w:rFonts w:hint="eastAsia" w:cs="Times New Roman" w:asciiTheme="minorEastAsia" w:hAnsiTheme="minorEastAsia" w:eastAsiaTheme="minorEastAsia"/>
                <w:sz w:val="21"/>
                <w:szCs w:val="20"/>
                <w:highlight w:val="none"/>
                <w:lang w:eastAsia="zh-CN"/>
              </w:rPr>
              <w:t xml:space="preserve">或相对简陋，不能满足项目需求），得0分。 </w:t>
            </w:r>
          </w:p>
        </w:tc>
        <w:tc>
          <w:tcPr>
            <w:tcW w:w="8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eastAsia="宋体"/>
                <w:b w:val="0"/>
                <w:bCs/>
                <w:sz w:val="18"/>
                <w:szCs w:val="20"/>
                <w:highlight w:val="none"/>
                <w:lang w:val="en-US" w:eastAsia="zh-CN"/>
              </w:rPr>
            </w:pPr>
            <w:r>
              <w:rPr>
                <w:rFonts w:hint="eastAsia"/>
                <w:b w:val="0"/>
                <w:bCs/>
                <w:sz w:val="18"/>
                <w:szCs w:val="20"/>
                <w:highlight w:val="none"/>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8704" w:type="dxa"/>
            <w:gridSpan w:val="3"/>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right="0" w:firstLine="0" w:firstLineChars="0"/>
              <w:jc w:val="center"/>
              <w:textAlignment w:val="auto"/>
              <w:rPr>
                <w:rFonts w:hint="eastAsia" w:eastAsia="宋体"/>
                <w:b w:val="0"/>
                <w:bCs/>
                <w:sz w:val="18"/>
                <w:szCs w:val="20"/>
                <w:highlight w:val="none"/>
                <w:lang w:eastAsia="zh-CN"/>
              </w:rPr>
            </w:pPr>
            <w:r>
              <w:rPr>
                <w:rFonts w:hint="eastAsia"/>
                <w:b w:val="0"/>
                <w:bCs/>
                <w:sz w:val="18"/>
                <w:szCs w:val="20"/>
                <w:highlight w:val="none"/>
                <w:lang w:eastAsia="zh-CN"/>
              </w:rPr>
              <w:t>合计</w:t>
            </w:r>
          </w:p>
        </w:tc>
        <w:tc>
          <w:tcPr>
            <w:tcW w:w="804"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default" w:eastAsia="宋体"/>
                <w:b w:val="0"/>
                <w:bCs/>
                <w:sz w:val="18"/>
                <w:szCs w:val="20"/>
                <w:highlight w:val="none"/>
                <w:lang w:val="en-US" w:eastAsia="zh-CN"/>
              </w:rPr>
            </w:pPr>
            <w:r>
              <w:rPr>
                <w:rFonts w:hint="eastAsia"/>
                <w:b w:val="0"/>
                <w:bCs/>
                <w:sz w:val="18"/>
                <w:szCs w:val="20"/>
                <w:highlight w:val="none"/>
                <w:lang w:val="en-US" w:eastAsia="zh-CN"/>
              </w:rPr>
              <w:t>25</w:t>
            </w:r>
          </w:p>
        </w:tc>
      </w:tr>
    </w:tbl>
    <w:p>
      <w:pPr>
        <w:pStyle w:val="8"/>
        <w:spacing w:line="415" w:lineRule="auto"/>
        <w:ind w:left="967" w:right="1845" w:firstLine="562" w:firstLineChars="200"/>
        <w:jc w:val="center"/>
        <w:rPr>
          <w:rFonts w:ascii="宋体" w:hAnsi="宋体" w:eastAsia="宋体" w:cs="宋体"/>
          <w:b/>
          <w:bCs/>
          <w:sz w:val="28"/>
          <w:szCs w:val="28"/>
          <w:highlight w:val="none"/>
        </w:rPr>
      </w:pPr>
    </w:p>
    <w:p>
      <w:pPr>
        <w:spacing w:line="415" w:lineRule="auto"/>
        <w:ind w:left="967" w:right="1845" w:firstLine="562" w:firstLineChars="200"/>
        <w:jc w:val="center"/>
        <w:rPr>
          <w:rFonts w:ascii="宋体" w:hAnsi="宋体" w:eastAsia="宋体" w:cs="宋体"/>
          <w:b/>
          <w:bCs/>
          <w:sz w:val="28"/>
          <w:szCs w:val="28"/>
          <w:highlight w:val="none"/>
        </w:rPr>
      </w:pPr>
      <w:r>
        <w:rPr>
          <w:rFonts w:ascii="宋体" w:hAnsi="宋体" w:eastAsia="宋体" w:cs="宋体"/>
          <w:b/>
          <w:bCs/>
          <w:sz w:val="28"/>
          <w:szCs w:val="28"/>
          <w:highlight w:val="none"/>
        </w:rPr>
        <w:br w:type="page"/>
      </w:r>
    </w:p>
    <w:p>
      <w:pPr>
        <w:pStyle w:val="8"/>
        <w:spacing w:line="415" w:lineRule="auto"/>
        <w:ind w:left="967" w:right="1845" w:firstLine="562" w:firstLineChars="200"/>
        <w:jc w:val="center"/>
        <w:rPr>
          <w:rFonts w:ascii="宋体" w:hAnsi="宋体" w:eastAsia="宋体" w:cs="宋体"/>
          <w:b/>
          <w:bCs/>
          <w:sz w:val="28"/>
          <w:szCs w:val="28"/>
          <w:highlight w:val="none"/>
        </w:rPr>
      </w:pPr>
      <w:r>
        <w:rPr>
          <w:rFonts w:ascii="宋体" w:hAnsi="宋体" w:eastAsia="宋体" w:cs="宋体"/>
          <w:b/>
          <w:bCs/>
          <w:sz w:val="28"/>
          <w:szCs w:val="28"/>
          <w:highlight w:val="none"/>
        </w:rPr>
        <w:t xml:space="preserve">价格评审部分 </w:t>
      </w:r>
    </w:p>
    <w:p>
      <w:pPr>
        <w:autoSpaceDE/>
        <w:autoSpaceDN/>
        <w:spacing w:before="0" w:after="0" w:line="400" w:lineRule="exact"/>
        <w:ind w:left="0" w:leftChars="0" w:right="0" w:firstLine="0" w:firstLineChars="0"/>
        <w:jc w:val="center"/>
        <w:rPr>
          <w:rFonts w:hint="eastAsia" w:ascii="宋体" w:hAnsi="宋体"/>
          <w:b/>
          <w:bCs/>
          <w:sz w:val="22"/>
          <w:szCs w:val="22"/>
          <w:highlight w:val="none"/>
          <w:lang w:eastAsia="zh-CN"/>
        </w:rPr>
      </w:pPr>
      <w:r>
        <w:rPr>
          <w:rFonts w:hint="eastAsia" w:ascii="宋体" w:hAnsi="宋体"/>
          <w:b/>
          <w:bCs/>
          <w:sz w:val="22"/>
          <w:szCs w:val="22"/>
          <w:highlight w:val="none"/>
          <w:lang w:eastAsia="zh-CN"/>
        </w:rPr>
        <w:t>（</w:t>
      </w:r>
      <w:r>
        <w:rPr>
          <w:rFonts w:hint="eastAsia" w:ascii="宋体" w:hAnsi="宋体"/>
          <w:b/>
          <w:bCs/>
          <w:sz w:val="22"/>
          <w:szCs w:val="22"/>
          <w:highlight w:val="none"/>
        </w:rPr>
        <w:t>算术平均值法</w:t>
      </w:r>
      <w:r>
        <w:rPr>
          <w:rFonts w:hint="eastAsia" w:ascii="宋体" w:hAnsi="宋体"/>
          <w:b/>
          <w:bCs/>
          <w:sz w:val="22"/>
          <w:szCs w:val="22"/>
          <w:highlight w:val="none"/>
          <w:lang w:eastAsia="zh-CN"/>
        </w:rPr>
        <w:t>）</w:t>
      </w:r>
    </w:p>
    <w:tbl>
      <w:tblPr>
        <w:tblStyle w:val="16"/>
        <w:tblW w:w="97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5"/>
        <w:gridCol w:w="2049"/>
        <w:gridCol w:w="1563"/>
        <w:gridCol w:w="1289"/>
        <w:gridCol w:w="1333"/>
        <w:gridCol w:w="1333"/>
        <w:gridCol w:w="13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25" w:type="dxa"/>
            <w:tcBorders>
              <w:top w:val="single" w:color="auto" w:sz="12" w:space="0"/>
              <w:left w:val="single" w:color="auto" w:sz="12" w:space="0"/>
              <w:bottom w:val="single" w:color="auto" w:sz="6" w:space="0"/>
              <w:right w:val="single" w:color="auto" w:sz="6" w:space="0"/>
            </w:tcBorders>
            <w:noWrap w:val="0"/>
            <w:vAlign w:val="center"/>
          </w:tcPr>
          <w:p>
            <w:pPr>
              <w:snapToGrid w:val="0"/>
              <w:jc w:val="center"/>
              <w:rPr>
                <w:rFonts w:ascii="宋体" w:hAnsi="宋体"/>
                <w:b/>
                <w:szCs w:val="21"/>
                <w:highlight w:val="none"/>
              </w:rPr>
            </w:pPr>
            <w:r>
              <w:rPr>
                <w:rFonts w:hint="eastAsia" w:ascii="宋体" w:hAnsi="宋体"/>
                <w:b/>
                <w:szCs w:val="21"/>
                <w:highlight w:val="none"/>
              </w:rPr>
              <w:t>序号</w:t>
            </w:r>
          </w:p>
        </w:tc>
        <w:tc>
          <w:tcPr>
            <w:tcW w:w="2049" w:type="dxa"/>
            <w:tcBorders>
              <w:top w:val="single" w:color="auto" w:sz="12" w:space="0"/>
              <w:left w:val="single" w:color="auto" w:sz="6" w:space="0"/>
              <w:bottom w:val="single" w:color="auto" w:sz="6" w:space="0"/>
              <w:right w:val="single" w:color="auto" w:sz="4" w:space="0"/>
            </w:tcBorders>
            <w:noWrap w:val="0"/>
            <w:vAlign w:val="center"/>
          </w:tcPr>
          <w:p>
            <w:pPr>
              <w:snapToGrid w:val="0"/>
              <w:jc w:val="center"/>
              <w:rPr>
                <w:rFonts w:ascii="宋体" w:hAnsi="宋体"/>
                <w:b/>
                <w:szCs w:val="21"/>
                <w:highlight w:val="none"/>
              </w:rPr>
            </w:pPr>
            <w:r>
              <w:rPr>
                <w:rFonts w:hint="eastAsia" w:ascii="宋体" w:hAnsi="宋体"/>
                <w:b/>
                <w:szCs w:val="21"/>
                <w:highlight w:val="none"/>
              </w:rPr>
              <w:t>投标人</w:t>
            </w:r>
          </w:p>
        </w:tc>
        <w:tc>
          <w:tcPr>
            <w:tcW w:w="1563" w:type="dxa"/>
            <w:tcBorders>
              <w:top w:val="single" w:color="auto" w:sz="12" w:space="0"/>
              <w:left w:val="single" w:color="auto" w:sz="4" w:space="0"/>
              <w:bottom w:val="single" w:color="auto" w:sz="6" w:space="0"/>
              <w:right w:val="single" w:color="auto" w:sz="6" w:space="0"/>
            </w:tcBorders>
            <w:noWrap w:val="0"/>
            <w:vAlign w:val="center"/>
          </w:tcPr>
          <w:p>
            <w:pPr>
              <w:snapToGrid w:val="0"/>
              <w:jc w:val="center"/>
              <w:rPr>
                <w:rFonts w:ascii="宋体" w:hAnsi="宋体"/>
                <w:b/>
                <w:szCs w:val="21"/>
                <w:highlight w:val="none"/>
              </w:rPr>
            </w:pPr>
            <w:r>
              <w:rPr>
                <w:rFonts w:hint="eastAsia" w:ascii="宋体" w:hAnsi="宋体"/>
                <w:b/>
                <w:szCs w:val="21"/>
                <w:highlight w:val="none"/>
              </w:rPr>
              <w:t>投标报价</w:t>
            </w:r>
          </w:p>
        </w:tc>
        <w:tc>
          <w:tcPr>
            <w:tcW w:w="1289"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宋体" w:hAnsi="宋体"/>
                <w:b/>
                <w:szCs w:val="21"/>
                <w:highlight w:val="none"/>
              </w:rPr>
            </w:pPr>
            <w:r>
              <w:rPr>
                <w:rFonts w:hint="eastAsia" w:ascii="宋体" w:hAnsi="宋体"/>
                <w:b/>
                <w:szCs w:val="21"/>
                <w:highlight w:val="none"/>
              </w:rPr>
              <w:t>评标价</w:t>
            </w:r>
          </w:p>
        </w:tc>
        <w:tc>
          <w:tcPr>
            <w:tcW w:w="1333"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ascii="宋体" w:hAnsi="宋体"/>
                <w:b/>
                <w:szCs w:val="21"/>
                <w:highlight w:val="none"/>
              </w:rPr>
            </w:pPr>
            <w:r>
              <w:rPr>
                <w:rFonts w:hint="eastAsia" w:ascii="宋体" w:hAnsi="宋体"/>
                <w:b/>
                <w:szCs w:val="21"/>
                <w:highlight w:val="none"/>
              </w:rPr>
              <w:t>基准价</w:t>
            </w:r>
          </w:p>
        </w:tc>
        <w:tc>
          <w:tcPr>
            <w:tcW w:w="1333"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rFonts w:hint="eastAsia" w:ascii="宋体" w:hAnsi="宋体" w:eastAsia="宋体"/>
                <w:b/>
                <w:szCs w:val="21"/>
                <w:highlight w:val="none"/>
                <w:lang w:eastAsia="zh-CN"/>
              </w:rPr>
            </w:pPr>
            <w:r>
              <w:rPr>
                <w:rFonts w:hint="eastAsia"/>
                <w:b/>
                <w:szCs w:val="21"/>
                <w:highlight w:val="none"/>
                <w:lang w:eastAsia="zh-CN"/>
              </w:rPr>
              <w:t>偏差</w:t>
            </w:r>
          </w:p>
        </w:tc>
        <w:tc>
          <w:tcPr>
            <w:tcW w:w="1333" w:type="dxa"/>
            <w:tcBorders>
              <w:top w:val="single" w:color="auto" w:sz="12" w:space="0"/>
              <w:left w:val="single" w:color="auto" w:sz="6" w:space="0"/>
              <w:bottom w:val="single" w:color="auto" w:sz="6" w:space="0"/>
              <w:right w:val="single" w:color="auto" w:sz="12" w:space="0"/>
            </w:tcBorders>
            <w:noWrap w:val="0"/>
            <w:vAlign w:val="center"/>
          </w:tcPr>
          <w:p>
            <w:pPr>
              <w:snapToGrid w:val="0"/>
              <w:jc w:val="center"/>
              <w:rPr>
                <w:rFonts w:ascii="宋体" w:hAnsi="宋体"/>
                <w:b/>
                <w:szCs w:val="21"/>
                <w:highlight w:val="none"/>
              </w:rPr>
            </w:pPr>
            <w:r>
              <w:rPr>
                <w:rFonts w:hint="eastAsia" w:ascii="宋体" w:hAnsi="宋体"/>
                <w:b/>
                <w:szCs w:val="21"/>
                <w:highlight w:val="none"/>
              </w:rPr>
              <w:t>价格得分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5" w:type="dxa"/>
            <w:tcBorders>
              <w:top w:val="single" w:color="auto" w:sz="6" w:space="0"/>
              <w:left w:val="single" w:color="auto" w:sz="12"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2049" w:type="dxa"/>
            <w:tcBorders>
              <w:top w:val="single" w:color="auto" w:sz="6" w:space="0"/>
              <w:left w:val="single" w:color="auto" w:sz="6" w:space="0"/>
              <w:bottom w:val="single" w:color="auto" w:sz="6" w:space="0"/>
              <w:right w:val="single" w:color="auto" w:sz="4" w:space="0"/>
            </w:tcBorders>
            <w:noWrap w:val="0"/>
            <w:vAlign w:val="top"/>
          </w:tcPr>
          <w:p>
            <w:pPr>
              <w:snapToGrid w:val="0"/>
              <w:spacing w:line="360" w:lineRule="auto"/>
              <w:rPr>
                <w:rFonts w:ascii="宋体" w:hAnsi="宋体"/>
                <w:szCs w:val="21"/>
                <w:highlight w:val="none"/>
              </w:rPr>
            </w:pPr>
          </w:p>
        </w:tc>
        <w:tc>
          <w:tcPr>
            <w:tcW w:w="1563" w:type="dxa"/>
            <w:tcBorders>
              <w:top w:val="single" w:color="auto" w:sz="6" w:space="0"/>
              <w:left w:val="single" w:color="auto" w:sz="4"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vMerge w:val="restart"/>
            <w:tcBorders>
              <w:top w:val="single" w:color="auto" w:sz="6" w:space="0"/>
              <w:left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5" w:type="dxa"/>
            <w:tcBorders>
              <w:top w:val="single" w:color="auto" w:sz="6" w:space="0"/>
              <w:left w:val="single" w:color="auto" w:sz="12"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2049" w:type="dxa"/>
            <w:tcBorders>
              <w:top w:val="single" w:color="auto" w:sz="6" w:space="0"/>
              <w:left w:val="single" w:color="auto" w:sz="6" w:space="0"/>
              <w:bottom w:val="single" w:color="auto" w:sz="6" w:space="0"/>
              <w:right w:val="single" w:color="auto" w:sz="4" w:space="0"/>
            </w:tcBorders>
            <w:noWrap w:val="0"/>
            <w:vAlign w:val="top"/>
          </w:tcPr>
          <w:p>
            <w:pPr>
              <w:snapToGrid w:val="0"/>
              <w:spacing w:line="360" w:lineRule="auto"/>
              <w:rPr>
                <w:rFonts w:ascii="宋体" w:hAnsi="宋体"/>
                <w:szCs w:val="21"/>
                <w:highlight w:val="none"/>
              </w:rPr>
            </w:pPr>
          </w:p>
        </w:tc>
        <w:tc>
          <w:tcPr>
            <w:tcW w:w="1563" w:type="dxa"/>
            <w:tcBorders>
              <w:top w:val="single" w:color="auto" w:sz="6" w:space="0"/>
              <w:left w:val="single" w:color="auto" w:sz="4"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vMerge w:val="continue"/>
            <w:tcBorders>
              <w:left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5" w:type="dxa"/>
            <w:tcBorders>
              <w:top w:val="single" w:color="auto" w:sz="6" w:space="0"/>
              <w:left w:val="single" w:color="auto" w:sz="12"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2049" w:type="dxa"/>
            <w:tcBorders>
              <w:top w:val="single" w:color="auto" w:sz="6" w:space="0"/>
              <w:left w:val="single" w:color="auto" w:sz="6" w:space="0"/>
              <w:bottom w:val="single" w:color="auto" w:sz="6" w:space="0"/>
              <w:right w:val="single" w:color="auto" w:sz="4" w:space="0"/>
            </w:tcBorders>
            <w:noWrap w:val="0"/>
            <w:vAlign w:val="top"/>
          </w:tcPr>
          <w:p>
            <w:pPr>
              <w:snapToGrid w:val="0"/>
              <w:spacing w:line="360" w:lineRule="auto"/>
              <w:rPr>
                <w:rFonts w:ascii="宋体" w:hAnsi="宋体"/>
                <w:szCs w:val="21"/>
                <w:highlight w:val="none"/>
              </w:rPr>
            </w:pPr>
          </w:p>
        </w:tc>
        <w:tc>
          <w:tcPr>
            <w:tcW w:w="1563" w:type="dxa"/>
            <w:tcBorders>
              <w:top w:val="single" w:color="auto" w:sz="6" w:space="0"/>
              <w:left w:val="single" w:color="auto" w:sz="4"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vMerge w:val="continue"/>
            <w:tcBorders>
              <w:left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5" w:type="dxa"/>
            <w:tcBorders>
              <w:top w:val="single" w:color="auto" w:sz="6" w:space="0"/>
              <w:left w:val="single" w:color="auto" w:sz="12"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2049" w:type="dxa"/>
            <w:tcBorders>
              <w:top w:val="single" w:color="auto" w:sz="6" w:space="0"/>
              <w:left w:val="single" w:color="auto" w:sz="6" w:space="0"/>
              <w:bottom w:val="single" w:color="auto" w:sz="6" w:space="0"/>
              <w:right w:val="single" w:color="auto" w:sz="4" w:space="0"/>
            </w:tcBorders>
            <w:noWrap w:val="0"/>
            <w:vAlign w:val="top"/>
          </w:tcPr>
          <w:p>
            <w:pPr>
              <w:snapToGrid w:val="0"/>
              <w:spacing w:line="360" w:lineRule="auto"/>
              <w:rPr>
                <w:rFonts w:ascii="宋体" w:hAnsi="宋体"/>
                <w:szCs w:val="21"/>
                <w:highlight w:val="none"/>
              </w:rPr>
            </w:pPr>
          </w:p>
        </w:tc>
        <w:tc>
          <w:tcPr>
            <w:tcW w:w="1563" w:type="dxa"/>
            <w:tcBorders>
              <w:top w:val="single" w:color="auto" w:sz="6" w:space="0"/>
              <w:left w:val="single" w:color="auto" w:sz="4"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vMerge w:val="continue"/>
            <w:tcBorders>
              <w:left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5" w:type="dxa"/>
            <w:tcBorders>
              <w:top w:val="single" w:color="auto" w:sz="6" w:space="0"/>
              <w:left w:val="single" w:color="auto" w:sz="12"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2049" w:type="dxa"/>
            <w:tcBorders>
              <w:top w:val="single" w:color="auto" w:sz="6" w:space="0"/>
              <w:left w:val="single" w:color="auto" w:sz="6" w:space="0"/>
              <w:bottom w:val="single" w:color="auto" w:sz="6" w:space="0"/>
              <w:right w:val="single" w:color="auto" w:sz="4" w:space="0"/>
            </w:tcBorders>
            <w:noWrap w:val="0"/>
            <w:vAlign w:val="top"/>
          </w:tcPr>
          <w:p>
            <w:pPr>
              <w:snapToGrid w:val="0"/>
              <w:spacing w:line="360" w:lineRule="auto"/>
              <w:rPr>
                <w:rFonts w:ascii="宋体" w:hAnsi="宋体"/>
                <w:szCs w:val="21"/>
                <w:highlight w:val="none"/>
              </w:rPr>
            </w:pPr>
          </w:p>
        </w:tc>
        <w:tc>
          <w:tcPr>
            <w:tcW w:w="1563" w:type="dxa"/>
            <w:tcBorders>
              <w:top w:val="single" w:color="auto" w:sz="6" w:space="0"/>
              <w:left w:val="single" w:color="auto" w:sz="4"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vMerge w:val="continue"/>
            <w:tcBorders>
              <w:left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5" w:type="dxa"/>
            <w:tcBorders>
              <w:top w:val="single" w:color="auto" w:sz="6" w:space="0"/>
              <w:left w:val="single" w:color="auto" w:sz="12"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2049" w:type="dxa"/>
            <w:tcBorders>
              <w:top w:val="single" w:color="auto" w:sz="6" w:space="0"/>
              <w:left w:val="single" w:color="auto" w:sz="6" w:space="0"/>
              <w:bottom w:val="single" w:color="auto" w:sz="6" w:space="0"/>
              <w:right w:val="single" w:color="auto" w:sz="4" w:space="0"/>
            </w:tcBorders>
            <w:noWrap w:val="0"/>
            <w:vAlign w:val="top"/>
          </w:tcPr>
          <w:p>
            <w:pPr>
              <w:snapToGrid w:val="0"/>
              <w:spacing w:line="360" w:lineRule="auto"/>
              <w:rPr>
                <w:rFonts w:ascii="宋体" w:hAnsi="宋体"/>
                <w:szCs w:val="21"/>
                <w:highlight w:val="none"/>
              </w:rPr>
            </w:pPr>
          </w:p>
        </w:tc>
        <w:tc>
          <w:tcPr>
            <w:tcW w:w="1563" w:type="dxa"/>
            <w:tcBorders>
              <w:top w:val="single" w:color="auto" w:sz="6" w:space="0"/>
              <w:left w:val="single" w:color="auto" w:sz="4"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289" w:type="dxa"/>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vMerge w:val="continue"/>
            <w:tcBorders>
              <w:left w:val="single" w:color="auto" w:sz="6" w:space="0"/>
              <w:right w:val="single" w:color="auto" w:sz="6"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6" w:space="0"/>
              <w:right w:val="single" w:color="auto" w:sz="12" w:space="0"/>
            </w:tcBorders>
            <w:noWrap w:val="0"/>
            <w:vAlign w:val="top"/>
          </w:tcPr>
          <w:p>
            <w:pPr>
              <w:snapToGrid w:val="0"/>
              <w:spacing w:line="360" w:lineRule="auto"/>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5" w:type="dxa"/>
            <w:tcBorders>
              <w:top w:val="single" w:color="auto" w:sz="6" w:space="0"/>
              <w:left w:val="single" w:color="auto" w:sz="12" w:space="0"/>
              <w:bottom w:val="single" w:color="auto" w:sz="12" w:space="0"/>
              <w:right w:val="single" w:color="auto" w:sz="6" w:space="0"/>
            </w:tcBorders>
            <w:noWrap w:val="0"/>
            <w:vAlign w:val="top"/>
          </w:tcPr>
          <w:p>
            <w:pPr>
              <w:snapToGrid w:val="0"/>
              <w:spacing w:line="360" w:lineRule="auto"/>
              <w:rPr>
                <w:rFonts w:ascii="宋体" w:hAnsi="宋体"/>
                <w:szCs w:val="21"/>
                <w:highlight w:val="none"/>
              </w:rPr>
            </w:pPr>
          </w:p>
        </w:tc>
        <w:tc>
          <w:tcPr>
            <w:tcW w:w="2049" w:type="dxa"/>
            <w:tcBorders>
              <w:top w:val="single" w:color="auto" w:sz="6" w:space="0"/>
              <w:left w:val="single" w:color="auto" w:sz="6" w:space="0"/>
              <w:bottom w:val="single" w:color="auto" w:sz="12" w:space="0"/>
              <w:right w:val="single" w:color="auto" w:sz="4" w:space="0"/>
            </w:tcBorders>
            <w:noWrap w:val="0"/>
            <w:vAlign w:val="top"/>
          </w:tcPr>
          <w:p>
            <w:pPr>
              <w:snapToGrid w:val="0"/>
              <w:spacing w:line="360" w:lineRule="auto"/>
              <w:rPr>
                <w:rFonts w:ascii="宋体" w:hAnsi="宋体"/>
                <w:szCs w:val="21"/>
                <w:highlight w:val="none"/>
              </w:rPr>
            </w:pPr>
          </w:p>
        </w:tc>
        <w:tc>
          <w:tcPr>
            <w:tcW w:w="1563" w:type="dxa"/>
            <w:tcBorders>
              <w:top w:val="single" w:color="auto" w:sz="6" w:space="0"/>
              <w:left w:val="single" w:color="auto" w:sz="4" w:space="0"/>
              <w:bottom w:val="single" w:color="auto" w:sz="12" w:space="0"/>
              <w:right w:val="single" w:color="auto" w:sz="6" w:space="0"/>
            </w:tcBorders>
            <w:noWrap w:val="0"/>
            <w:vAlign w:val="top"/>
          </w:tcPr>
          <w:p>
            <w:pPr>
              <w:snapToGrid w:val="0"/>
              <w:spacing w:line="360" w:lineRule="auto"/>
              <w:rPr>
                <w:rFonts w:ascii="宋体" w:hAnsi="宋体"/>
                <w:szCs w:val="21"/>
                <w:highlight w:val="none"/>
              </w:rPr>
            </w:pPr>
          </w:p>
        </w:tc>
        <w:tc>
          <w:tcPr>
            <w:tcW w:w="1289" w:type="dxa"/>
            <w:tcBorders>
              <w:top w:val="single" w:color="auto" w:sz="6" w:space="0"/>
              <w:left w:val="single" w:color="auto" w:sz="6" w:space="0"/>
              <w:bottom w:val="single" w:color="auto" w:sz="12" w:space="0"/>
              <w:right w:val="single" w:color="auto" w:sz="6" w:space="0"/>
            </w:tcBorders>
            <w:noWrap w:val="0"/>
            <w:vAlign w:val="top"/>
          </w:tcPr>
          <w:p>
            <w:pPr>
              <w:snapToGrid w:val="0"/>
              <w:spacing w:line="360" w:lineRule="auto"/>
              <w:rPr>
                <w:rFonts w:ascii="宋体" w:hAnsi="宋体"/>
                <w:szCs w:val="21"/>
                <w:highlight w:val="none"/>
              </w:rPr>
            </w:pPr>
          </w:p>
        </w:tc>
        <w:tc>
          <w:tcPr>
            <w:tcW w:w="1333" w:type="dxa"/>
            <w:vMerge w:val="continue"/>
            <w:tcBorders>
              <w:left w:val="single" w:color="auto" w:sz="6" w:space="0"/>
              <w:bottom w:val="single" w:color="auto" w:sz="12" w:space="0"/>
              <w:right w:val="single" w:color="auto" w:sz="6"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12" w:space="0"/>
              <w:right w:val="single" w:color="auto" w:sz="12" w:space="0"/>
            </w:tcBorders>
            <w:noWrap w:val="0"/>
            <w:vAlign w:val="top"/>
          </w:tcPr>
          <w:p>
            <w:pPr>
              <w:snapToGrid w:val="0"/>
              <w:spacing w:line="360" w:lineRule="auto"/>
              <w:rPr>
                <w:rFonts w:ascii="宋体" w:hAnsi="宋体"/>
                <w:szCs w:val="21"/>
                <w:highlight w:val="none"/>
              </w:rPr>
            </w:pPr>
          </w:p>
        </w:tc>
        <w:tc>
          <w:tcPr>
            <w:tcW w:w="1333" w:type="dxa"/>
            <w:tcBorders>
              <w:top w:val="single" w:color="auto" w:sz="6" w:space="0"/>
              <w:left w:val="single" w:color="auto" w:sz="6" w:space="0"/>
              <w:bottom w:val="single" w:color="auto" w:sz="12" w:space="0"/>
              <w:right w:val="single" w:color="auto" w:sz="12" w:space="0"/>
            </w:tcBorders>
            <w:noWrap w:val="0"/>
            <w:vAlign w:val="top"/>
          </w:tcPr>
          <w:p>
            <w:pPr>
              <w:snapToGrid w:val="0"/>
              <w:spacing w:line="360" w:lineRule="auto"/>
              <w:rPr>
                <w:rFonts w:ascii="宋体" w:hAnsi="宋体"/>
                <w:szCs w:val="21"/>
                <w:highlight w:val="none"/>
              </w:rPr>
            </w:pPr>
          </w:p>
        </w:tc>
      </w:tr>
    </w:tbl>
    <w:p>
      <w:pPr>
        <w:pStyle w:val="2"/>
        <w:rPr>
          <w:rFonts w:hint="eastAsia"/>
          <w:highlight w:val="none"/>
        </w:rPr>
        <w:sectPr>
          <w:footerReference r:id="rId4" w:type="default"/>
          <w:pgSz w:w="11910" w:h="16850"/>
          <w:pgMar w:top="1440" w:right="1080" w:bottom="1440" w:left="1080" w:header="0" w:footer="735" w:gutter="0"/>
          <w:pgNumType w:start="10"/>
          <w:cols w:space="425" w:num="1"/>
        </w:sectPr>
      </w:pPr>
    </w:p>
    <w:p>
      <w:pPr>
        <w:autoSpaceDE/>
        <w:autoSpaceDN/>
        <w:spacing w:before="0" w:after="0" w:line="400" w:lineRule="exact"/>
        <w:ind w:left="0" w:right="0" w:firstLine="440" w:firstLineChars="200"/>
        <w:jc w:val="both"/>
        <w:rPr>
          <w:rFonts w:hint="eastAsia" w:eastAsia="宋体"/>
          <w:highlight w:val="none"/>
          <w:lang w:eastAsia="zh-CN"/>
        </w:rPr>
        <w:sectPr>
          <w:type w:val="continuous"/>
          <w:pgSz w:w="11910" w:h="16850"/>
          <w:pgMar w:top="1440" w:right="1080" w:bottom="1440" w:left="1080" w:header="0" w:footer="735" w:gutter="0"/>
          <w:pgNumType w:start="10"/>
          <w:cols w:space="425" w:num="1"/>
        </w:sectPr>
      </w:pPr>
      <w:r>
        <w:rPr>
          <w:rFonts w:hint="eastAsia" w:ascii="宋体" w:hAnsi="宋体"/>
          <w:szCs w:val="21"/>
          <w:highlight w:val="none"/>
        </w:rPr>
        <w:t>价格得分采用算术平均值法：当投标人数少于</w:t>
      </w:r>
      <w:r>
        <w:rPr>
          <w:rFonts w:hint="eastAsia" w:ascii="宋体" w:hAnsi="宋体"/>
          <w:szCs w:val="21"/>
          <w:highlight w:val="none"/>
          <w:lang w:val="en-US" w:eastAsia="zh-CN"/>
        </w:rPr>
        <w:t>5</w:t>
      </w:r>
      <w:r>
        <w:rPr>
          <w:rFonts w:hint="eastAsia" w:ascii="宋体" w:hAnsi="宋体"/>
          <w:szCs w:val="21"/>
          <w:highlight w:val="none"/>
        </w:rPr>
        <w:t>个（含）时，基准价为所有投标报价（或评标价）算术平均值。当投标人数大于</w:t>
      </w:r>
      <w:r>
        <w:rPr>
          <w:rFonts w:hint="eastAsia" w:ascii="宋体" w:hAnsi="宋体"/>
          <w:szCs w:val="21"/>
          <w:highlight w:val="none"/>
          <w:lang w:val="en-US" w:eastAsia="zh-CN"/>
        </w:rPr>
        <w:t>5</w:t>
      </w:r>
      <w:r>
        <w:rPr>
          <w:rFonts w:hint="eastAsia" w:ascii="宋体" w:hAnsi="宋体"/>
          <w:szCs w:val="21"/>
          <w:highlight w:val="none"/>
        </w:rPr>
        <w:t>个（不含）时，基准价为去掉最高和最低投标报价（或评标价）后的算术平均值（评标价指按照招标文件条款修正后的价格）。当投标报价等于基准价时得</w:t>
      </w:r>
      <w:r>
        <w:rPr>
          <w:rFonts w:hint="eastAsia" w:ascii="宋体" w:hAnsi="宋体"/>
          <w:szCs w:val="21"/>
          <w:highlight w:val="none"/>
          <w:lang w:val="en-US" w:eastAsia="zh-CN"/>
        </w:rPr>
        <w:t>60</w:t>
      </w:r>
      <w:r>
        <w:rPr>
          <w:rFonts w:hint="eastAsia" w:ascii="宋体" w:hAnsi="宋体"/>
          <w:szCs w:val="21"/>
          <w:highlight w:val="none"/>
        </w:rPr>
        <w:t>分，投标报价每高于基准价1%，扣</w:t>
      </w:r>
      <w:r>
        <w:rPr>
          <w:rFonts w:hint="eastAsia" w:ascii="宋体" w:hAnsi="宋体"/>
          <w:szCs w:val="21"/>
          <w:highlight w:val="none"/>
          <w:lang w:val="en-US" w:eastAsia="zh-CN"/>
        </w:rPr>
        <w:t>1.5</w:t>
      </w:r>
      <w:r>
        <w:rPr>
          <w:rFonts w:hint="eastAsia" w:ascii="宋体" w:hAnsi="宋体"/>
          <w:szCs w:val="21"/>
          <w:highlight w:val="none"/>
        </w:rPr>
        <w:t>分，每低于基准价1%，扣</w:t>
      </w:r>
      <w:r>
        <w:rPr>
          <w:rFonts w:hint="eastAsia" w:ascii="宋体" w:hAnsi="宋体"/>
          <w:szCs w:val="21"/>
          <w:highlight w:val="none"/>
          <w:lang w:val="en-US" w:eastAsia="zh-CN"/>
        </w:rPr>
        <w:t>1</w:t>
      </w:r>
      <w:r>
        <w:rPr>
          <w:rFonts w:hint="eastAsia" w:ascii="宋体" w:hAnsi="宋体"/>
          <w:szCs w:val="21"/>
          <w:highlight w:val="none"/>
        </w:rPr>
        <w:t>分，扣至0分为止，得出经济</w:t>
      </w:r>
      <w:r>
        <w:rPr>
          <w:rFonts w:hint="eastAsia" w:ascii="宋体" w:hAnsi="宋体"/>
          <w:szCs w:val="21"/>
          <w:highlight w:val="none"/>
          <w:lang w:eastAsia="zh-CN"/>
        </w:rPr>
        <w:t>评</w:t>
      </w:r>
      <w:r>
        <w:rPr>
          <w:rFonts w:hint="eastAsia" w:ascii="宋体" w:hAnsi="宋体"/>
          <w:szCs w:val="21"/>
          <w:highlight w:val="none"/>
        </w:rPr>
        <w:t>分，精确到小数点后两位</w:t>
      </w:r>
      <w:r>
        <w:rPr>
          <w:rFonts w:hint="eastAsia" w:ascii="宋体" w:hAnsi="宋体"/>
          <w:szCs w:val="21"/>
          <w:highlight w:val="none"/>
          <w:lang w:eastAsia="zh-CN"/>
        </w:rPr>
        <w:t>。</w:t>
      </w:r>
    </w:p>
    <w:p>
      <w:pPr>
        <w:rPr>
          <w:rFonts w:hint="eastAsia" w:ascii="宋体" w:hAnsi="宋体" w:eastAsia="宋体" w:cs="宋体"/>
          <w:kern w:val="2"/>
          <w:sz w:val="21"/>
          <w:szCs w:val="24"/>
          <w:highlight w:val="none"/>
          <w:lang w:val="zh-CN" w:eastAsia="zh-CN" w:bidi="ar-SA"/>
        </w:rPr>
      </w:pPr>
      <w:r>
        <w:rPr>
          <w:rFonts w:hint="eastAsia" w:ascii="宋体" w:hAnsi="宋体" w:eastAsia="宋体" w:cs="宋体"/>
          <w:kern w:val="2"/>
          <w:sz w:val="21"/>
          <w:szCs w:val="24"/>
          <w:highlight w:val="none"/>
          <w:lang w:val="zh-CN" w:eastAsia="zh-CN" w:bidi="ar-SA"/>
        </w:rPr>
        <w:br w:type="page"/>
      </w:r>
    </w:p>
    <w:p>
      <w:pPr>
        <w:autoSpaceDE/>
        <w:autoSpaceDN/>
        <w:spacing w:before="0" w:after="0" w:line="400" w:lineRule="exact"/>
        <w:ind w:right="0"/>
        <w:jc w:val="both"/>
        <w:rPr>
          <w:rFonts w:hint="eastAsia" w:ascii="黑体" w:hAnsi="黑体" w:eastAsia="黑体" w:cs="黑体"/>
          <w:kern w:val="2"/>
          <w:sz w:val="28"/>
          <w:szCs w:val="36"/>
          <w:highlight w:val="none"/>
          <w:lang w:val="zh-CN" w:eastAsia="zh-CN" w:bidi="ar-SA"/>
        </w:rPr>
      </w:pPr>
      <w:r>
        <w:rPr>
          <w:rFonts w:hint="eastAsia" w:ascii="黑体" w:hAnsi="黑体" w:eastAsia="黑体" w:cs="黑体"/>
          <w:kern w:val="2"/>
          <w:sz w:val="28"/>
          <w:szCs w:val="36"/>
          <w:highlight w:val="none"/>
          <w:lang w:val="zh-CN" w:eastAsia="zh-CN" w:bidi="ar-SA"/>
        </w:rPr>
        <w:t xml:space="preserve">附件三 </w:t>
      </w:r>
    </w:p>
    <w:p>
      <w:pPr>
        <w:pStyle w:val="8"/>
        <w:spacing w:line="415" w:lineRule="auto"/>
        <w:ind w:left="967" w:right="1845" w:firstLine="562" w:firstLineChars="200"/>
        <w:jc w:val="center"/>
        <w:rPr>
          <w:rFonts w:ascii="宋体" w:hAnsi="宋体" w:eastAsia="宋体" w:cs="宋体"/>
          <w:b/>
          <w:bCs/>
          <w:sz w:val="28"/>
          <w:szCs w:val="28"/>
          <w:highlight w:val="none"/>
        </w:rPr>
        <w:sectPr>
          <w:type w:val="continuous"/>
          <w:pgSz w:w="11910" w:h="16850"/>
          <w:pgMar w:top="1440" w:right="1080" w:bottom="1440" w:left="1080" w:header="0" w:footer="735" w:gutter="0"/>
          <w:pgNumType w:start="10"/>
          <w:cols w:equalWidth="0" w:num="2">
            <w:col w:w="3136" w:space="74"/>
            <w:col w:w="6540"/>
          </w:cols>
        </w:sectPr>
      </w:pPr>
    </w:p>
    <w:p>
      <w:pPr>
        <w:autoSpaceDE/>
        <w:autoSpaceDN/>
        <w:spacing w:before="0" w:after="0" w:line="400" w:lineRule="exact"/>
        <w:ind w:left="0" w:leftChars="0" w:right="0" w:firstLine="0" w:firstLineChars="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投标文件格式</w:t>
      </w:r>
    </w:p>
    <w:p>
      <w:pPr>
        <w:widowControl/>
        <w:spacing w:line="240" w:lineRule="auto"/>
        <w:jc w:val="left"/>
        <w:rPr>
          <w:rFonts w:hint="default" w:ascii="黑体" w:hAnsi="黑体" w:eastAsia="黑体" w:cs="黑体"/>
          <w:bCs/>
          <w:color w:val="000000"/>
          <w:sz w:val="24"/>
          <w:szCs w:val="24"/>
          <w:highlight w:val="none"/>
          <w:lang w:val="en-US" w:eastAsia="zh-CN"/>
        </w:rPr>
      </w:pPr>
      <w:r>
        <w:rPr>
          <w:rFonts w:hint="eastAsia" w:ascii="黑体" w:hAnsi="黑体" w:eastAsia="黑体" w:cs="黑体"/>
          <w:bCs/>
          <w:color w:val="000000"/>
          <w:sz w:val="24"/>
          <w:szCs w:val="24"/>
          <w:highlight w:val="none"/>
          <w:lang w:eastAsia="zh-CN"/>
        </w:rPr>
        <w:t>格式</w:t>
      </w:r>
      <w:r>
        <w:rPr>
          <w:rFonts w:hint="eastAsia" w:ascii="黑体" w:hAnsi="黑体" w:eastAsia="黑体" w:cs="黑体"/>
          <w:bCs/>
          <w:color w:val="000000"/>
          <w:sz w:val="24"/>
          <w:szCs w:val="24"/>
          <w:highlight w:val="none"/>
          <w:lang w:val="en-US" w:eastAsia="zh-CN"/>
        </w:rPr>
        <w:t>1 投标人声明</w:t>
      </w:r>
    </w:p>
    <w:p>
      <w:pPr>
        <w:spacing w:line="24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投标人声明</w:t>
      </w:r>
    </w:p>
    <w:p>
      <w:pPr>
        <w:spacing w:line="240" w:lineRule="auto"/>
        <w:jc w:val="center"/>
        <w:rPr>
          <w:rFonts w:hint="eastAsia" w:ascii="仿宋" w:hAnsi="仿宋" w:eastAsia="仿宋" w:cs="仿宋"/>
          <w:b/>
          <w:sz w:val="24"/>
          <w:szCs w:val="24"/>
          <w:highlight w:val="none"/>
        </w:rPr>
      </w:pPr>
    </w:p>
    <w:p>
      <w:pPr>
        <w:pStyle w:val="30"/>
        <w:spacing w:line="24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广州市住房和城乡建设局、</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及监管机构：</w:t>
      </w:r>
    </w:p>
    <w:p>
      <w:pPr>
        <w:pStyle w:val="3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本公司就参加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竞投工作，作出郑重声明：</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一、本公司保证竞投报名及其后提供的一切材料都是真实的。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二、本公司保证在本项目竞投中不与其他单位围标、串标，不出让竞投资格，不向招选人或评审委员会成员行贿。</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三、本公司不存在下列情形之一：</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（1）为招选人不具有独立法人资格的附属机构（单位）；</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（2）为本招选前期准备提供设计或咨询服务或者与本项目设计人或提供咨询服务的机构存在附属关系的；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（3）为本项目监理人或者与本项目监理人存在隶属关系或者其他利害关系；</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（4）为本招选的代建人；</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（5）为本招选提供招标代理服务的；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（6）与本招选的监理人或代建人或招标代理机构同为一个法定代表人的；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（7）与本招选的监理人或代建人或招标代理机构互相控股或参股的；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（8）与本招选的监理人或代建人或招标代理机构相互任职或工作的；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（9）与本招选的检测机构有隶属关系或者其他利害关系；</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（10）与招选人存在利害关系且可能影响招选公正性； </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（11）与本招选的其他竞投人为同一个单位负责人； </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（12）与本招选的其他竞投人存在控股、管理关系； </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（13）被依法暂停或取消投标资格的； </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（14）被责令停产停业、暂扣或者吊销许可证、暂扣或者吊销执照的；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（15）进入清算程序，或被宣布破产，或其他丧失履约能力的情形；</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（16）在最近三年内有骗取中标或严重违约或重大工程质量问题的；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（17）被工商行政管理机关在全国企业信用信息公示系统中列入严重违法失信企业名单；</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（18）被最高人民法院在“信用中国”网站（www.creditchina.gov.cn）或各级信用信息共享平台中列入失信被执行人名单；</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（19）在近三年内投标人或其法定代表人、拟委派的项目负责人有行贿犯罪行为的；</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（20）法律法规规定的其他情形。</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四、本公司保证本项目拟派的项目负责人和安全员没有在其他在建项目中任职。</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本公司承诺，中选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30"/>
        <w:spacing w:line="24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本公司承诺，中选后将遵守总承包企业在竞投时向招选人作出的关于实名制管理的承诺，服从总承包企业对本公司的统一管理，并对我公司施工范围的实名制管理负直接责任，切实落实《广州市建筑施工实名制管理办法》（穗建规字〔2017〕4号）《广州市建设领域工人工资支付分账管理实施细则》（穗建规字〔2017〕10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由银行代发工资，保证农民工工资按月足额发放。我公司接受招选人及建设行政主管部门的监督、检查。</w:t>
      </w:r>
    </w:p>
    <w:p>
      <w:pPr>
        <w:pStyle w:val="30"/>
        <w:spacing w:line="24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七、与本公司单位负责人为同一人或者与本公司存在控股、管理关系的其他单位包括：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。（注：本条由竞投人如实填写，如有，应列出全部满足选公告资质要求的相关单位的名称；如无，则填写“无”。）</w:t>
      </w:r>
    </w:p>
    <w:p>
      <w:pPr>
        <w:pStyle w:val="30"/>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八、本公司违反上述保证，或本声明陈述与事实不符，经查实，本公司愿意接受公开通报，承担由此带来的法律后果，并愿意停止参加广州市行政区域内的招标投标活动三个月。其中，本声明陈述与事实不符的，属于弄虚作假骗取中选，将依法接受监管部门的处罚。</w:t>
      </w:r>
    </w:p>
    <w:p>
      <w:pPr>
        <w:pStyle w:val="30"/>
        <w:spacing w:line="240" w:lineRule="auto"/>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九、本公司拟委派专职安全员兼任本工程的工地余泥渣土运输与排放管理员，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30"/>
        <w:spacing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特此声明！</w:t>
      </w:r>
    </w:p>
    <w:p>
      <w:pPr>
        <w:pStyle w:val="31"/>
        <w:spacing w:line="240" w:lineRule="auto"/>
        <w:ind w:left="629" w:right="144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pStyle w:val="31"/>
        <w:spacing w:line="240" w:lineRule="auto"/>
        <w:ind w:left="629" w:right="1449"/>
        <w:jc w:val="both"/>
        <w:rPr>
          <w:rFonts w:hint="eastAsia" w:ascii="仿宋" w:hAnsi="仿宋" w:eastAsia="仿宋" w:cs="仿宋"/>
          <w:sz w:val="24"/>
          <w:szCs w:val="24"/>
          <w:highlight w:val="none"/>
        </w:rPr>
      </w:pPr>
    </w:p>
    <w:p>
      <w:pPr>
        <w:pStyle w:val="31"/>
        <w:spacing w:line="240" w:lineRule="auto"/>
        <w:ind w:left="629" w:right="1449"/>
        <w:jc w:val="both"/>
        <w:rPr>
          <w:rFonts w:hint="eastAsia" w:ascii="仿宋" w:hAnsi="仿宋" w:eastAsia="仿宋" w:cs="仿宋"/>
          <w:sz w:val="24"/>
          <w:szCs w:val="24"/>
          <w:highlight w:val="none"/>
        </w:rPr>
      </w:pPr>
    </w:p>
    <w:p>
      <w:pPr>
        <w:pStyle w:val="31"/>
        <w:spacing w:line="240" w:lineRule="auto"/>
        <w:ind w:left="0" w:right="1449" w:firstLine="5280" w:firstLineChars="2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声明企业：</w:t>
      </w:r>
    </w:p>
    <w:p>
      <w:pPr>
        <w:tabs>
          <w:tab w:val="left" w:pos="3600"/>
        </w:tabs>
        <w:spacing w:line="240" w:lineRule="auto"/>
        <w:rPr>
          <w:rFonts w:hint="eastAsia" w:ascii="仿宋" w:hAnsi="仿宋" w:eastAsia="仿宋" w:cs="仿宋"/>
          <w:bCs/>
          <w:color w:val="000000"/>
          <w:sz w:val="24"/>
          <w:highlight w:val="none"/>
        </w:rPr>
      </w:pPr>
      <w:r>
        <w:rPr>
          <w:rFonts w:hint="eastAsia" w:ascii="仿宋" w:hAnsi="仿宋" w:eastAsia="仿宋" w:cs="仿宋"/>
          <w:sz w:val="24"/>
          <w:szCs w:val="24"/>
          <w:highlight w:val="none"/>
        </w:rPr>
        <w:t xml:space="preserve">                             </w:t>
      </w:r>
      <w:r>
        <w:rPr>
          <w:rFonts w:hint="eastAsia" w:ascii="仿宋" w:hAnsi="仿宋" w:eastAsia="仿宋" w:cs="仿宋"/>
          <w:bCs/>
          <w:color w:val="000000"/>
          <w:sz w:val="24"/>
          <w:szCs w:val="24"/>
          <w:highlight w:val="none"/>
        </w:rPr>
        <w:t>法定代表人或其</w:t>
      </w: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授权代表(</w:t>
      </w:r>
      <w:r>
        <w:rPr>
          <w:rFonts w:hint="eastAsia" w:ascii="仿宋" w:hAnsi="仿宋" w:eastAsia="仿宋" w:cs="仿宋"/>
          <w:color w:val="000000"/>
          <w:sz w:val="24"/>
          <w:szCs w:val="24"/>
          <w:highlight w:val="none"/>
        </w:rPr>
        <w:t>签字</w:t>
      </w:r>
      <w:r>
        <w:rPr>
          <w:rFonts w:hint="eastAsia" w:ascii="仿宋" w:hAnsi="仿宋" w:eastAsia="仿宋" w:cs="仿宋"/>
          <w:bCs/>
          <w:color w:val="000000"/>
          <w:sz w:val="24"/>
          <w:szCs w:val="24"/>
          <w:highlight w:val="none"/>
        </w:rPr>
        <w:t>)：</w:t>
      </w:r>
    </w:p>
    <w:p>
      <w:pPr>
        <w:pStyle w:val="30"/>
        <w:spacing w:line="240" w:lineRule="auto"/>
        <w:ind w:right="879" w:firstLine="2160" w:firstLineChars="900"/>
        <w:jc w:val="left"/>
        <w:rPr>
          <w:rFonts w:hint="eastAsia" w:ascii="仿宋" w:hAnsi="仿宋" w:eastAsia="仿宋" w:cs="仿宋"/>
          <w:color w:val="auto"/>
          <w:sz w:val="24"/>
          <w:szCs w:val="24"/>
          <w:highlight w:val="none"/>
        </w:rPr>
      </w:pPr>
    </w:p>
    <w:p>
      <w:pPr>
        <w:pStyle w:val="30"/>
        <w:spacing w:line="240" w:lineRule="auto"/>
        <w:ind w:right="879" w:firstLine="2160" w:firstLineChars="900"/>
        <w:jc w:val="righ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年   月   日</w:t>
      </w:r>
    </w:p>
    <w:p>
      <w:pPr>
        <w:spacing w:line="24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0"/>
          <w:sz w:val="24"/>
          <w:szCs w:val="24"/>
          <w:highlight w:val="none"/>
        </w:rPr>
        <w:t>（企业公章）</w:t>
      </w:r>
    </w:p>
    <w:p>
      <w:pPr>
        <w:widowControl/>
        <w:spacing w:line="240" w:lineRule="auto"/>
        <w:jc w:val="left"/>
        <w:rPr>
          <w:rFonts w:hint="eastAsia" w:ascii="仿宋" w:hAnsi="仿宋" w:eastAsia="仿宋" w:cs="仿宋"/>
          <w:b/>
          <w:color w:val="000000"/>
          <w:kern w:val="0"/>
          <w:sz w:val="32"/>
          <w:szCs w:val="32"/>
          <w:highlight w:val="none"/>
        </w:rPr>
      </w:pPr>
    </w:p>
    <w:p>
      <w:pPr>
        <w:widowControl/>
        <w:spacing w:line="240" w:lineRule="auto"/>
        <w:jc w:val="center"/>
        <w:rPr>
          <w:rFonts w:hint="eastAsia" w:ascii="仿宋" w:hAnsi="仿宋" w:eastAsia="仿宋" w:cs="仿宋"/>
          <w:b/>
          <w:color w:val="000000"/>
          <w:kern w:val="0"/>
          <w:sz w:val="52"/>
          <w:szCs w:val="52"/>
          <w:highlight w:val="none"/>
        </w:rPr>
      </w:pPr>
    </w:p>
    <w:p>
      <w:pPr>
        <w:spacing w:line="240" w:lineRule="auto"/>
        <w:rPr>
          <w:rFonts w:hint="eastAsia" w:ascii="仿宋" w:hAnsi="仿宋" w:eastAsia="仿宋" w:cs="仿宋"/>
          <w:color w:val="000000"/>
          <w:sz w:val="24"/>
          <w:szCs w:val="24"/>
          <w:highlight w:val="none"/>
        </w:rPr>
      </w:pPr>
    </w:p>
    <w:p>
      <w:pPr>
        <w:spacing w:line="240" w:lineRule="auto"/>
        <w:rPr>
          <w:rFonts w:hint="eastAsia" w:ascii="仿宋" w:hAnsi="仿宋" w:eastAsia="仿宋" w:cs="仿宋"/>
          <w:color w:val="000000"/>
          <w:sz w:val="24"/>
          <w:szCs w:val="24"/>
          <w:highlight w:val="none"/>
        </w:rPr>
      </w:pPr>
    </w:p>
    <w:p>
      <w:pPr>
        <w:spacing w:line="240" w:lineRule="auto"/>
        <w:rPr>
          <w:rFonts w:hint="eastAsia" w:ascii="仿宋" w:hAnsi="仿宋" w:eastAsia="仿宋" w:cs="仿宋"/>
          <w:color w:val="000000"/>
          <w:sz w:val="24"/>
          <w:szCs w:val="24"/>
          <w:highlight w:val="none"/>
        </w:rPr>
      </w:pPr>
    </w:p>
    <w:p>
      <w:pPr>
        <w:spacing w:line="240" w:lineRule="auto"/>
        <w:rPr>
          <w:highlight w:val="none"/>
        </w:rPr>
      </w:pPr>
    </w:p>
    <w:p>
      <w:pPr>
        <w:autoSpaceDE/>
        <w:autoSpaceDN/>
        <w:spacing w:before="0" w:after="0" w:line="400" w:lineRule="exact"/>
        <w:ind w:left="0" w:right="0" w:firstLine="420" w:firstLineChars="200"/>
        <w:jc w:val="both"/>
        <w:rPr>
          <w:rFonts w:hint="eastAsia" w:ascii="宋体" w:hAnsi="宋体" w:eastAsia="宋体" w:cs="宋体"/>
          <w:kern w:val="2"/>
          <w:sz w:val="21"/>
          <w:szCs w:val="24"/>
          <w:highlight w:val="none"/>
          <w:lang w:val="zh-CN" w:eastAsia="zh-CN" w:bidi="ar-SA"/>
        </w:rPr>
      </w:pPr>
    </w:p>
    <w:p>
      <w:pPr>
        <w:autoSpaceDE/>
        <w:autoSpaceDN/>
        <w:spacing w:before="0" w:after="0" w:line="240" w:lineRule="auto"/>
        <w:ind w:left="0" w:right="0" w:firstLine="0" w:firstLineChars="0"/>
        <w:jc w:val="left"/>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br w:type="page"/>
      </w: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2</w:t>
      </w:r>
      <w:r>
        <w:rPr>
          <w:rFonts w:hint="eastAsia" w:ascii="宋体" w:hAnsi="宋体" w:eastAsia="宋体" w:cs="宋体"/>
          <w:b/>
          <w:bCs/>
          <w:kern w:val="2"/>
          <w:sz w:val="21"/>
          <w:szCs w:val="24"/>
          <w:highlight w:val="none"/>
          <w:lang w:val="zh-CN" w:eastAsia="zh-CN" w:bidi="ar-SA"/>
        </w:rPr>
        <w:t xml:space="preserve"> 法定代表人证明书 </w:t>
      </w:r>
    </w:p>
    <w:p>
      <w:pPr>
        <w:pStyle w:val="8"/>
        <w:spacing w:line="415" w:lineRule="auto"/>
        <w:ind w:left="967" w:right="1845" w:firstLine="562" w:firstLineChars="200"/>
        <w:jc w:val="center"/>
        <w:rPr>
          <w:rFonts w:ascii="宋体" w:hAnsi="宋体" w:eastAsia="宋体" w:cs="宋体"/>
          <w:b/>
          <w:bCs/>
          <w:sz w:val="28"/>
          <w:szCs w:val="28"/>
          <w:highlight w:val="none"/>
        </w:rPr>
      </w:pPr>
    </w:p>
    <w:p>
      <w:pPr>
        <w:pStyle w:val="8"/>
        <w:spacing w:line="415" w:lineRule="auto"/>
        <w:ind w:left="967" w:right="1845" w:firstLine="562" w:firstLineChars="200"/>
        <w:jc w:val="center"/>
        <w:rPr>
          <w:rFonts w:ascii="宋体" w:hAnsi="宋体" w:eastAsia="宋体" w:cs="宋体"/>
          <w:b/>
          <w:bCs/>
          <w:sz w:val="28"/>
          <w:szCs w:val="28"/>
          <w:highlight w:val="none"/>
        </w:rPr>
      </w:pPr>
      <w:r>
        <w:rPr>
          <w:rFonts w:ascii="宋体" w:hAnsi="宋体" w:eastAsia="宋体" w:cs="宋体"/>
          <w:b/>
          <w:bCs/>
          <w:sz w:val="28"/>
          <w:szCs w:val="28"/>
          <w:highlight w:val="none"/>
        </w:rPr>
        <w:t xml:space="preserve">法定代表人证明书 </w:t>
      </w:r>
    </w:p>
    <w:p>
      <w:pPr>
        <w:pStyle w:val="8"/>
        <w:spacing w:line="415" w:lineRule="auto"/>
        <w:ind w:left="967" w:right="1845" w:firstLine="562" w:firstLineChars="200"/>
        <w:jc w:val="center"/>
        <w:rPr>
          <w:rFonts w:ascii="宋体" w:hAnsi="宋体" w:eastAsia="宋体" w:cs="宋体"/>
          <w:b/>
          <w:bCs/>
          <w:sz w:val="28"/>
          <w:szCs w:val="28"/>
          <w:highlight w:val="none"/>
        </w:rPr>
        <w:sectPr>
          <w:type w:val="continuous"/>
          <w:pgSz w:w="11910" w:h="16850"/>
          <w:pgMar w:top="1440" w:right="1080" w:bottom="1440" w:left="1080" w:header="0" w:footer="735" w:gutter="0"/>
          <w:pgNumType w:start="10"/>
          <w:cols w:space="425" w:num="1"/>
        </w:sectPr>
      </w:pPr>
    </w:p>
    <w:p>
      <w:pPr>
        <w:pStyle w:val="8"/>
        <w:spacing w:before="8" w:line="360" w:lineRule="auto"/>
        <w:ind w:left="426" w:leftChars="0" w:firstLine="672" w:firstLineChars="320"/>
        <w:rPr>
          <w:rFonts w:hint="eastAsia"/>
          <w:highlight w:val="none"/>
        </w:rPr>
      </w:pPr>
      <w:r>
        <w:rPr>
          <w:rFonts w:hint="eastAsia"/>
          <w:highlight w:val="none"/>
          <w:u w:val="single"/>
          <w:lang w:val="en-US" w:eastAsia="zh-CN"/>
        </w:rPr>
        <w:t xml:space="preserve">          </w:t>
      </w:r>
      <w:r>
        <w:rPr>
          <w:rFonts w:hint="eastAsia"/>
          <w:highlight w:val="none"/>
        </w:rPr>
        <w:t>先生/女士，现任我公司</w:t>
      </w:r>
      <w:r>
        <w:rPr>
          <w:rFonts w:hint="eastAsia"/>
          <w:highlight w:val="none"/>
          <w:u w:val="single"/>
        </w:rPr>
        <w:t xml:space="preserve"> </w:t>
      </w:r>
      <w:r>
        <w:rPr>
          <w:rFonts w:hint="eastAsia"/>
          <w:highlight w:val="none"/>
          <w:u w:val="single"/>
          <w:lang w:val="en-US" w:eastAsia="zh-CN"/>
        </w:rPr>
        <w:t xml:space="preserve">            </w:t>
      </w:r>
      <w:r>
        <w:rPr>
          <w:rFonts w:hint="eastAsia"/>
          <w:highlight w:val="none"/>
        </w:rPr>
        <w:t xml:space="preserve">职务，为法定代表人，特此证明。 </w:t>
      </w:r>
    </w:p>
    <w:p>
      <w:pPr>
        <w:pStyle w:val="8"/>
        <w:spacing w:before="8" w:line="360" w:lineRule="auto"/>
        <w:ind w:left="426" w:leftChars="0" w:firstLine="428" w:firstLineChars="204"/>
        <w:rPr>
          <w:rFonts w:hint="eastAsia"/>
          <w:highlight w:val="none"/>
        </w:rPr>
      </w:pPr>
      <w:r>
        <w:rPr>
          <w:rFonts w:hint="eastAsia"/>
          <w:highlight w:val="none"/>
        </w:rPr>
        <w:t xml:space="preserve">单位（盖公章）： </w:t>
      </w:r>
    </w:p>
    <w:p>
      <w:pPr>
        <w:pStyle w:val="8"/>
        <w:spacing w:before="8" w:line="360" w:lineRule="auto"/>
        <w:ind w:left="426" w:leftChars="0" w:firstLine="428" w:firstLineChars="204"/>
        <w:rPr>
          <w:rFonts w:hint="eastAsia"/>
          <w:highlight w:val="none"/>
        </w:rPr>
      </w:pPr>
      <w:r>
        <w:rPr>
          <w:rFonts w:hint="eastAsia"/>
          <w:highlight w:val="none"/>
        </w:rPr>
        <w:t xml:space="preserve">附： </w:t>
      </w:r>
    </w:p>
    <w:p>
      <w:pPr>
        <w:pStyle w:val="8"/>
        <w:spacing w:before="8" w:line="360" w:lineRule="auto"/>
        <w:ind w:left="426" w:leftChars="0" w:firstLine="428" w:firstLineChars="204"/>
        <w:rPr>
          <w:rFonts w:hint="eastAsia"/>
          <w:highlight w:val="none"/>
        </w:rPr>
      </w:pPr>
      <w:r>
        <w:rPr>
          <w:rFonts w:hint="eastAsia"/>
          <w:highlight w:val="none"/>
        </w:rPr>
        <w:pict>
          <v:shape id="_x0000_s1033" o:spid="_x0000_s1033" o:spt="202" type="#_x0000_t202" style="position:absolute;left:0pt;margin-left:255.9pt;margin-top:90.1pt;height:30.75pt;width:52.75pt;mso-position-horizontal-relative:page;z-index:-251656192;mso-width-relative:page;mso-height-relative:page;" filled="f" stroked="f" coordsize="21600,21600">
            <v:path/>
            <v:fill on="f" focussize="0,0"/>
            <v:stroke on="f" joinstyle="miter"/>
            <v:imagedata o:title=""/>
            <o:lock v:ext="edit"/>
            <v:textbox inset="0mm,0mm,0mm,0mm">
              <w:txbxContent>
                <w:p>
                  <w:pPr>
                    <w:pStyle w:val="8"/>
                    <w:spacing w:line="240" w:lineRule="exact"/>
                  </w:pPr>
                  <w:r>
                    <w:t xml:space="preserve">       </w:t>
                  </w:r>
                  <w:r>
                    <w:rPr>
                      <w:spacing w:val="3"/>
                    </w:rPr>
                    <w:t xml:space="preserve"> </w:t>
                  </w:r>
                  <w:r>
                    <w:t xml:space="preserve"> </w:t>
                  </w:r>
                </w:p>
                <w:p>
                  <w:pPr>
                    <w:pStyle w:val="8"/>
                    <w:spacing w:before="136" w:line="240" w:lineRule="exact"/>
                  </w:pPr>
                  <w:r>
                    <w:t xml:space="preserve">        </w:t>
                  </w:r>
                  <w:r>
                    <w:rPr>
                      <w:spacing w:val="3"/>
                    </w:rPr>
                    <w:t xml:space="preserve"> </w:t>
                  </w:r>
                  <w:r>
                    <w:t xml:space="preserve"> </w:t>
                  </w:r>
                </w:p>
              </w:txbxContent>
            </v:textbox>
          </v:shape>
        </w:pict>
      </w:r>
      <w:r>
        <w:rPr>
          <w:rFonts w:hint="eastAsia"/>
          <w:highlight w:val="none"/>
        </w:rPr>
        <w:t xml:space="preserve">代表人性别： </w:t>
      </w:r>
    </w:p>
    <w:p>
      <w:pPr>
        <w:pStyle w:val="8"/>
        <w:spacing w:before="8" w:line="360" w:lineRule="auto"/>
        <w:ind w:left="426" w:leftChars="0" w:firstLine="428" w:firstLineChars="204"/>
        <w:rPr>
          <w:rFonts w:hint="eastAsia"/>
          <w:highlight w:val="none"/>
        </w:rPr>
      </w:pPr>
      <w:r>
        <w:rPr>
          <w:rFonts w:hint="eastAsia"/>
          <w:highlight w:val="none"/>
        </w:rPr>
        <w:t>年 龄 ：</w:t>
      </w:r>
    </w:p>
    <w:p>
      <w:pPr>
        <w:pStyle w:val="8"/>
        <w:spacing w:before="8" w:line="360" w:lineRule="auto"/>
        <w:ind w:left="426" w:leftChars="0" w:firstLine="428" w:firstLineChars="204"/>
        <w:rPr>
          <w:rFonts w:hint="eastAsia"/>
          <w:highlight w:val="none"/>
        </w:rPr>
      </w:pPr>
      <w:r>
        <w:rPr>
          <w:rFonts w:hint="eastAsia"/>
          <w:highlight w:val="none"/>
        </w:rPr>
        <w:pict>
          <v:group id="_x0000_s1034" o:spid="_x0000_s1034" o:spt="203" style="position:absolute;left:0pt;margin-left:284.35pt;margin-top:12.95pt;height:34.95pt;width:135.75pt;mso-position-horizontal-relative:page;z-index:-251655168;mso-width-relative:page;mso-height-relative:page;" coordorigin="5255,1770" coordsize="2715,699">
            <o:lock v:ext="edit"/>
            <v:rect id="_x0000_s1035" o:spid="_x0000_s1035" o:spt="1" style="position:absolute;left:5262;top:1777;height:684;width:2700;" fillcolor="#FFFFFF" filled="t" stroked="f" coordsize="21600,21600">
              <v:path/>
              <v:fill on="t" focussize="0,0"/>
              <v:stroke on="f"/>
              <v:imagedata o:title=""/>
              <o:lock v:ext="edit"/>
            </v:rect>
            <v:shape id="_x0000_s1036" o:spid="_x0000_s1036" o:spt="202" type="#_x0000_t202" style="position:absolute;left:5262;top:1777;height:684;width:2700;" filled="f" stroked="t" coordsize="21600,21600">
              <v:path/>
              <v:fill on="f" focussize="0,0"/>
              <v:stroke color="#000000"/>
              <v:imagedata o:title=""/>
              <o:lock v:ext="edit"/>
              <v:textbox inset="0mm,0mm,0mm,0mm">
                <w:txbxContent>
                  <w:p>
                    <w:pPr>
                      <w:spacing w:before="69"/>
                      <w:ind w:left="347" w:right="0" w:firstLine="0"/>
                      <w:jc w:val="left"/>
                      <w:rPr>
                        <w:sz w:val="28"/>
                      </w:rPr>
                    </w:pPr>
                    <w:r>
                      <w:rPr>
                        <w:sz w:val="28"/>
                      </w:rPr>
                      <w:t>加盖投标人公章</w:t>
                    </w:r>
                  </w:p>
                </w:txbxContent>
              </v:textbox>
            </v:shape>
          </v:group>
        </w:pict>
      </w:r>
      <w:r>
        <w:rPr>
          <w:rFonts w:hint="eastAsia"/>
          <w:highlight w:val="none"/>
        </w:rPr>
        <w:t>身份证号码：</w:t>
      </w:r>
    </w:p>
    <w:p>
      <w:pPr>
        <w:pStyle w:val="8"/>
        <w:spacing w:before="8" w:line="360" w:lineRule="auto"/>
        <w:ind w:left="426" w:leftChars="0" w:firstLine="428" w:firstLineChars="204"/>
        <w:rPr>
          <w:rFonts w:hint="eastAsia"/>
          <w:highlight w:val="none"/>
        </w:rPr>
      </w:pPr>
      <w:r>
        <w:rPr>
          <w:rFonts w:hint="eastAsia"/>
          <w:highlight w:val="none"/>
        </w:rPr>
        <w:t>营业执照（注册号）：</w:t>
      </w:r>
    </w:p>
    <w:p>
      <w:pPr>
        <w:pStyle w:val="8"/>
        <w:spacing w:before="8" w:line="360" w:lineRule="auto"/>
        <w:ind w:left="426" w:leftChars="0" w:firstLine="428" w:firstLineChars="204"/>
        <w:rPr>
          <w:rFonts w:hint="eastAsia"/>
          <w:highlight w:val="none"/>
        </w:rPr>
      </w:pPr>
      <w:r>
        <w:rPr>
          <w:rFonts w:hint="eastAsia"/>
          <w:highlight w:val="none"/>
        </w:rPr>
        <w:t xml:space="preserve">经济性质：                       </w:t>
      </w:r>
    </w:p>
    <w:p>
      <w:pPr>
        <w:pStyle w:val="8"/>
        <w:spacing w:before="8" w:line="360" w:lineRule="auto"/>
        <w:ind w:left="426" w:leftChars="0" w:firstLine="428" w:firstLineChars="204"/>
        <w:rPr>
          <w:highlight w:val="none"/>
        </w:rPr>
      </w:pPr>
      <w:r>
        <w:rPr>
          <w:rFonts w:hint="eastAsia"/>
          <w:highlight w:val="none"/>
        </w:rPr>
        <w:t xml:space="preserve">主营（产）：          </w:t>
      </w:r>
      <w:r>
        <w:rPr>
          <w:highlight w:val="none"/>
        </w:rPr>
        <w:t xml:space="preserve">           </w:t>
      </w:r>
    </w:p>
    <w:p>
      <w:pPr>
        <w:pStyle w:val="8"/>
        <w:spacing w:before="9"/>
        <w:ind w:firstLine="420" w:firstLineChars="200"/>
        <w:rPr>
          <w:highlight w:val="none"/>
        </w:rPr>
      </w:pPr>
      <w:r>
        <w:rPr>
          <w:highlight w:val="none"/>
        </w:rPr>
        <w:pict>
          <v:shape id="_x0000_s1037" o:spid="_x0000_s1037" o:spt="202" type="#_x0000_t202" style="position:absolute;left:0pt;margin-left:108.15pt;margin-top:13.7pt;height:240.25pt;width:387.5pt;mso-position-horizontal-relative:page;mso-wrap-distance-bottom:0pt;mso-wrap-distance-top:0pt;z-index:251659264;mso-width-relative:page;mso-height-relative:page;" filled="f" stroked="t" coordsize="21600,21600">
            <v:path/>
            <v:fill on="f" focussize="0,0"/>
            <v:stroke color="#000000"/>
            <v:imagedata o:title=""/>
            <o:lock v:ext="edit"/>
            <v:textbox inset="0mm,0mm,0mm,0mm">
              <w:txbxContent>
                <w:p>
                  <w:pPr>
                    <w:pStyle w:val="8"/>
                    <w:spacing w:before="135"/>
                    <w:ind w:left="2943"/>
                  </w:pPr>
                  <w:r>
                    <w:t xml:space="preserve">（法人代表身份证复印件） </w:t>
                  </w:r>
                </w:p>
              </w:txbxContent>
            </v:textbox>
            <w10:wrap type="topAndBottom"/>
          </v:shape>
        </w:pict>
      </w:r>
    </w:p>
    <w:p>
      <w:pPr>
        <w:spacing w:before="151"/>
        <w:ind w:left="651" w:right="0" w:firstLine="422" w:firstLineChars="200"/>
        <w:jc w:val="left"/>
        <w:rPr>
          <w:b/>
          <w:sz w:val="21"/>
          <w:highlight w:val="none"/>
        </w:rPr>
      </w:pPr>
      <w:r>
        <w:rPr>
          <w:b/>
          <w:sz w:val="21"/>
          <w:highlight w:val="none"/>
        </w:rPr>
        <w:t>注：法定代表人的姓名必须与营业执照法定代表人姓名完全一致。</w:t>
      </w:r>
      <w:r>
        <w:rPr>
          <w:b/>
          <w:w w:val="99"/>
          <w:sz w:val="21"/>
          <w:highlight w:val="none"/>
        </w:rPr>
        <w:t xml:space="preserve"> </w:t>
      </w:r>
    </w:p>
    <w:p>
      <w:pPr>
        <w:spacing w:after="0"/>
        <w:ind w:firstLine="0" w:firstLineChars="0"/>
        <w:jc w:val="left"/>
        <w:rPr>
          <w:sz w:val="21"/>
          <w:highlight w:val="none"/>
        </w:rPr>
        <w:sectPr>
          <w:type w:val="continuous"/>
          <w:pgSz w:w="11910" w:h="16850"/>
          <w:pgMar w:top="1440" w:right="1080" w:bottom="1440" w:left="1080" w:header="720" w:footer="720"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3</w:t>
      </w:r>
      <w:r>
        <w:rPr>
          <w:rFonts w:hint="eastAsia" w:ascii="宋体" w:hAnsi="宋体" w:eastAsia="宋体" w:cs="宋体"/>
          <w:b/>
          <w:bCs/>
          <w:kern w:val="2"/>
          <w:sz w:val="21"/>
          <w:szCs w:val="24"/>
          <w:highlight w:val="none"/>
          <w:lang w:val="zh-CN" w:eastAsia="zh-CN" w:bidi="ar-SA"/>
        </w:rPr>
        <w:t xml:space="preserve"> 法定代表人授权委托书 </w:t>
      </w: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p>
    <w:p>
      <w:pPr>
        <w:pStyle w:val="5"/>
        <w:spacing w:before="169"/>
        <w:ind w:left="50" w:firstLine="482" w:firstLineChars="200"/>
        <w:rPr>
          <w:highlight w:val="none"/>
        </w:rPr>
        <w:sectPr>
          <w:pgSz w:w="11910" w:h="16850"/>
          <w:pgMar w:top="1440" w:right="1080" w:bottom="1440" w:left="1080" w:header="0" w:footer="735" w:gutter="0"/>
          <w:cols w:space="425" w:num="1"/>
        </w:sectPr>
      </w:pPr>
    </w:p>
    <w:p>
      <w:pPr>
        <w:autoSpaceDE/>
        <w:autoSpaceDN/>
        <w:spacing w:before="0" w:after="0" w:line="480" w:lineRule="auto"/>
        <w:ind w:left="0" w:right="0" w:firstLine="723" w:firstLineChars="20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法定代表人授权委托书</w:t>
      </w:r>
    </w:p>
    <w:p>
      <w:pPr>
        <w:spacing w:after="0"/>
        <w:ind w:firstLine="0" w:firstLineChars="0"/>
        <w:rPr>
          <w:highlight w:val="none"/>
        </w:rPr>
        <w:sectPr>
          <w:type w:val="continuous"/>
          <w:pgSz w:w="11910" w:h="16850"/>
          <w:pgMar w:top="1440" w:right="1080" w:bottom="1440" w:left="1080" w:header="0" w:footer="735" w:gutter="0"/>
          <w:cols w:space="425" w:num="1"/>
        </w:sectPr>
      </w:pPr>
    </w:p>
    <w:p>
      <w:pPr>
        <w:pStyle w:val="8"/>
        <w:spacing w:before="8" w:line="360" w:lineRule="auto"/>
        <w:ind w:left="426" w:leftChars="0" w:firstLine="672" w:firstLineChars="320"/>
        <w:rPr>
          <w:rFonts w:hint="eastAsia"/>
          <w:highlight w:val="none"/>
        </w:rPr>
      </w:pPr>
      <w:r>
        <w:rPr>
          <w:rFonts w:hint="eastAsia"/>
          <w:highlight w:val="none"/>
        </w:rPr>
        <w:pict>
          <v:shape id="_x0000_s1038" o:spid="_x0000_s1038" o:spt="202" type="#_x0000_t202" style="position:absolute;left:0pt;margin-left:286.85pt;margin-top:482.6pt;height:34.2pt;width:135pt;mso-position-horizontal-relative:page;mso-position-vertical-relative:page;z-index:251659264;mso-width-relative:page;mso-height-relative:page;" filled="f" stroked="t" coordsize="21600,21600">
            <v:path/>
            <v:fill on="f" focussize="0,0"/>
            <v:stroke color="#000000"/>
            <v:imagedata o:title=""/>
            <o:lock v:ext="edit"/>
            <v:textbox inset="0mm,0mm,0mm,0mm">
              <w:txbxContent>
                <w:p>
                  <w:pPr>
                    <w:spacing w:before="74"/>
                    <w:ind w:left="353" w:right="0" w:firstLine="0"/>
                    <w:jc w:val="left"/>
                    <w:rPr>
                      <w:sz w:val="28"/>
                    </w:rPr>
                  </w:pPr>
                  <w:r>
                    <w:rPr>
                      <w:sz w:val="28"/>
                    </w:rPr>
                    <w:t>加盖投标人公章</w:t>
                  </w:r>
                </w:p>
              </w:txbxContent>
            </v:textbox>
          </v:shape>
        </w:pict>
      </w:r>
      <w:r>
        <w:rPr>
          <w:rFonts w:hint="eastAsia"/>
          <w:highlight w:val="none"/>
        </w:rPr>
        <w:t>本授权书声明：注册于</w:t>
      </w:r>
      <w:r>
        <w:rPr>
          <w:rFonts w:hint="eastAsia"/>
          <w:highlight w:val="none"/>
          <w:u w:val="single"/>
        </w:rPr>
        <w:t>（国家或地区）</w:t>
      </w:r>
      <w:r>
        <w:rPr>
          <w:rFonts w:hint="eastAsia"/>
          <w:highlight w:val="none"/>
        </w:rPr>
        <w:t>的</w:t>
      </w:r>
      <w:r>
        <w:rPr>
          <w:rFonts w:hint="eastAsia"/>
          <w:highlight w:val="none"/>
          <w:u w:val="single"/>
        </w:rPr>
        <w:t>（投标人名称）</w:t>
      </w:r>
      <w:r>
        <w:rPr>
          <w:rFonts w:hint="eastAsia"/>
          <w:highlight w:val="none"/>
        </w:rPr>
        <w:t>在下面签字的</w:t>
      </w:r>
      <w:r>
        <w:rPr>
          <w:rFonts w:hint="eastAsia"/>
          <w:highlight w:val="none"/>
          <w:u w:val="single"/>
        </w:rPr>
        <w:t>（法定代表人姓名、职务）</w:t>
      </w:r>
      <w:r>
        <w:rPr>
          <w:rFonts w:hint="eastAsia"/>
          <w:highlight w:val="none"/>
        </w:rPr>
        <w:t>代表本公司授权</w:t>
      </w:r>
      <w:r>
        <w:rPr>
          <w:rFonts w:hint="eastAsia"/>
          <w:highlight w:val="none"/>
          <w:u w:val="single"/>
        </w:rPr>
        <w:t>（单位名称）</w:t>
      </w:r>
      <w:r>
        <w:rPr>
          <w:rFonts w:hint="eastAsia"/>
          <w:highlight w:val="none"/>
        </w:rPr>
        <w:t>的在下面签字的</w:t>
      </w:r>
      <w:r>
        <w:rPr>
          <w:rFonts w:hint="eastAsia"/>
          <w:highlight w:val="none"/>
          <w:u w:val="single"/>
        </w:rPr>
        <w:t>（授权代表姓名、职务）</w:t>
      </w:r>
      <w:r>
        <w:rPr>
          <w:rFonts w:hint="eastAsia"/>
          <w:highlight w:val="none"/>
        </w:rPr>
        <w:t>为本公司的合法代理人，就项目编号为</w:t>
      </w:r>
      <w:r>
        <w:rPr>
          <w:rFonts w:hint="eastAsia"/>
          <w:highlight w:val="none"/>
          <w:u w:val="single"/>
        </w:rPr>
        <w:t xml:space="preserve"> </w:t>
      </w:r>
      <w:r>
        <w:rPr>
          <w:rFonts w:hint="eastAsia"/>
          <w:highlight w:val="none"/>
          <w:u w:val="single"/>
          <w:lang w:eastAsia="zh-CN"/>
        </w:rPr>
        <w:t>ZKGSF(ZB)-2021</w:t>
      </w:r>
      <w:r>
        <w:rPr>
          <w:rFonts w:hint="eastAsia"/>
          <w:highlight w:val="none"/>
          <w:u w:val="single"/>
        </w:rPr>
        <w:t xml:space="preserve"> </w:t>
      </w:r>
      <w:r>
        <w:rPr>
          <w:rFonts w:hint="eastAsia"/>
          <w:highlight w:val="none"/>
        </w:rPr>
        <w:t xml:space="preserve"> 的</w:t>
      </w:r>
      <w:r>
        <w:rPr>
          <w:rFonts w:hint="eastAsia"/>
          <w:highlight w:val="none"/>
          <w:u w:val="single"/>
        </w:rPr>
        <w:t>（招标人名称）</w:t>
      </w:r>
      <w:r>
        <w:rPr>
          <w:rFonts w:hint="eastAsia"/>
          <w:highlight w:val="none"/>
          <w:lang w:eastAsia="zh-CN"/>
        </w:rPr>
        <w:t>参加</w:t>
      </w:r>
      <w:r>
        <w:rPr>
          <w:rFonts w:hint="eastAsia"/>
          <w:highlight w:val="none"/>
          <w:u w:val="single"/>
          <w:lang w:eastAsia="zh-CN"/>
        </w:rPr>
        <w:t>2021—2023年度东片区保障性住房及配套设备设施日常小额维修项目建库</w:t>
      </w:r>
      <w:r>
        <w:rPr>
          <w:rFonts w:hint="eastAsia"/>
          <w:highlight w:val="none"/>
        </w:rPr>
        <w:t xml:space="preserve">的投标和合同执行，作为投标人代表以本公司的名义处理一切与之有关的事宜。 </w:t>
      </w:r>
    </w:p>
    <w:p>
      <w:pPr>
        <w:pStyle w:val="8"/>
        <w:spacing w:before="8" w:line="360" w:lineRule="auto"/>
        <w:ind w:left="426" w:leftChars="0" w:firstLine="672" w:firstLineChars="320"/>
        <w:rPr>
          <w:rFonts w:hint="eastAsia"/>
          <w:highlight w:val="none"/>
        </w:rPr>
      </w:pPr>
      <w:r>
        <w:rPr>
          <w:rFonts w:hint="eastAsia"/>
          <w:highlight w:val="none"/>
        </w:rPr>
        <w:t xml:space="preserve">代理人无转委权。 </w:t>
      </w:r>
    </w:p>
    <w:p>
      <w:pPr>
        <w:pStyle w:val="8"/>
        <w:spacing w:before="8" w:line="360" w:lineRule="auto"/>
        <w:ind w:left="426" w:leftChars="0" w:firstLine="672" w:firstLineChars="320"/>
        <w:rPr>
          <w:rFonts w:hint="eastAsia"/>
          <w:highlight w:val="none"/>
        </w:rPr>
      </w:pPr>
      <w:r>
        <w:rPr>
          <w:rFonts w:hint="eastAsia"/>
          <w:highlight w:val="none"/>
        </w:rPr>
        <w:t>本授权书于</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日签字生效，有效日期</w:t>
      </w:r>
      <w:r>
        <w:rPr>
          <w:rFonts w:hint="eastAsia"/>
          <w:highlight w:val="none"/>
          <w:u w:val="single"/>
        </w:rPr>
        <w:t>：</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特此声明。 </w:t>
      </w:r>
    </w:p>
    <w:p>
      <w:pPr>
        <w:pStyle w:val="8"/>
        <w:spacing w:before="8" w:line="360" w:lineRule="auto"/>
        <w:ind w:left="426" w:leftChars="0" w:firstLine="672" w:firstLineChars="320"/>
        <w:rPr>
          <w:rFonts w:hint="eastAsia"/>
          <w:highlight w:val="none"/>
        </w:rPr>
      </w:pPr>
      <w:r>
        <w:rPr>
          <w:rFonts w:hint="eastAsia"/>
          <w:highlight w:val="none"/>
        </w:rPr>
        <w:t>法定代表人签字或盖章：</w:t>
      </w:r>
    </w:p>
    <w:p>
      <w:pPr>
        <w:pStyle w:val="8"/>
        <w:spacing w:before="8" w:line="360" w:lineRule="auto"/>
        <w:ind w:left="426" w:leftChars="0" w:firstLine="672" w:firstLineChars="320"/>
        <w:rPr>
          <w:rFonts w:hint="eastAsia"/>
          <w:highlight w:val="none"/>
        </w:rPr>
      </w:pPr>
      <w:r>
        <w:rPr>
          <w:rFonts w:hint="eastAsia"/>
          <w:highlight w:val="none"/>
        </w:rPr>
        <w:t xml:space="preserve">职 务 ：                                   </w:t>
      </w:r>
    </w:p>
    <w:p>
      <w:pPr>
        <w:pStyle w:val="8"/>
        <w:spacing w:before="8" w:line="360" w:lineRule="auto"/>
        <w:ind w:left="426" w:leftChars="0" w:firstLine="672" w:firstLineChars="320"/>
        <w:rPr>
          <w:rFonts w:hint="eastAsia"/>
          <w:highlight w:val="none"/>
        </w:rPr>
      </w:pPr>
      <w:r>
        <w:rPr>
          <w:rFonts w:hint="eastAsia"/>
          <w:highlight w:val="none"/>
        </w:rPr>
        <w:t xml:space="preserve">投标人代表（授权代表）签字或盖章：                     </w:t>
      </w:r>
    </w:p>
    <w:p>
      <w:pPr>
        <w:pStyle w:val="8"/>
        <w:spacing w:before="12"/>
        <w:ind w:firstLine="420" w:firstLineChars="200"/>
        <w:rPr>
          <w:sz w:val="11"/>
          <w:highlight w:val="none"/>
        </w:rPr>
      </w:pPr>
      <w:r>
        <w:rPr>
          <w:highlight w:val="none"/>
        </w:rPr>
        <w:pict>
          <v:shape id="_x0000_s1039" o:spid="_x0000_s1039" o:spt="202" type="#_x0000_t202" style="position:absolute;left:0pt;margin-left:103.95pt;margin-top:10pt;height:241pt;width:387.55pt;mso-position-horizontal-relative:page;mso-wrap-distance-bottom:0pt;mso-wrap-distance-top:0pt;z-index:251659264;mso-width-relative:page;mso-height-relative:page;" filled="f" stroked="t" coordsize="21600,21600">
            <v:path/>
            <v:fill on="f" focussize="0,0"/>
            <v:stroke color="#000000"/>
            <v:imagedata o:title=""/>
            <o:lock v:ext="edit"/>
            <v:textbox inset="0mm,0mm,0mm,0mm">
              <w:txbxContent>
                <w:p>
                  <w:pPr>
                    <w:pStyle w:val="8"/>
                    <w:spacing w:before="150"/>
                    <w:ind w:left="2839"/>
                  </w:pPr>
                  <w:r>
                    <w:t xml:space="preserve">（投标人代表身份证复印件） </w:t>
                  </w:r>
                </w:p>
              </w:txbxContent>
            </v:textbox>
            <w10:wrap type="topAndBottom"/>
          </v:shape>
        </w:pict>
      </w:r>
    </w:p>
    <w:p>
      <w:pPr>
        <w:spacing w:after="0" w:line="240" w:lineRule="exact"/>
        <w:ind w:firstLine="0" w:firstLineChars="0"/>
        <w:rPr>
          <w:highlight w:val="none"/>
        </w:rPr>
        <w:sectPr>
          <w:type w:val="continuous"/>
          <w:pgSz w:w="11910" w:h="16850"/>
          <w:pgMar w:top="1440" w:right="1080" w:bottom="1440" w:left="1080" w:header="720" w:footer="720"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4</w:t>
      </w:r>
      <w:r>
        <w:rPr>
          <w:rFonts w:hint="eastAsia" w:ascii="宋体" w:hAnsi="宋体" w:eastAsia="宋体" w:cs="宋体"/>
          <w:b/>
          <w:bCs/>
          <w:kern w:val="2"/>
          <w:sz w:val="21"/>
          <w:szCs w:val="24"/>
          <w:highlight w:val="none"/>
          <w:lang w:val="zh-CN" w:eastAsia="zh-CN" w:bidi="ar-SA"/>
        </w:rPr>
        <w:t xml:space="preserve"> 资格声明函 </w:t>
      </w:r>
    </w:p>
    <w:p>
      <w:pPr>
        <w:autoSpaceDE/>
        <w:autoSpaceDN/>
        <w:spacing w:before="0" w:after="0" w:line="480" w:lineRule="auto"/>
        <w:ind w:left="0" w:leftChars="0" w:right="0" w:firstLine="0" w:firstLineChars="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 xml:space="preserve">资格声明函 </w:t>
      </w:r>
    </w:p>
    <w:p>
      <w:pPr>
        <w:pStyle w:val="8"/>
        <w:spacing w:before="8" w:line="480" w:lineRule="auto"/>
        <w:rPr>
          <w:rFonts w:hint="eastAsia"/>
          <w:highlight w:val="none"/>
        </w:rPr>
      </w:pPr>
      <w:r>
        <w:rPr>
          <w:rFonts w:hint="eastAsia"/>
          <w:highlight w:val="none"/>
        </w:rPr>
        <w:t>致：</w:t>
      </w:r>
      <w:r>
        <w:rPr>
          <w:rFonts w:hint="eastAsia"/>
          <w:highlight w:val="none"/>
          <w:lang w:eastAsia="zh-CN"/>
        </w:rPr>
        <w:t>中科高盛咨询集团有限公司</w:t>
      </w:r>
      <w:r>
        <w:rPr>
          <w:rFonts w:hint="eastAsia"/>
          <w:highlight w:val="none"/>
        </w:rPr>
        <w:t xml:space="preserve">/广州市城壹物业发展有限公司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highlight w:val="none"/>
        </w:rPr>
      </w:pPr>
      <w:r>
        <w:rPr>
          <w:rFonts w:hint="eastAsia"/>
          <w:highlight w:val="none"/>
        </w:rPr>
        <w:t>下述投标人愿响应你方 年 月 日的项目名称：</w:t>
      </w:r>
      <w:r>
        <w:rPr>
          <w:rFonts w:hint="eastAsia"/>
          <w:highlight w:val="none"/>
          <w:u w:val="single"/>
          <w:lang w:eastAsia="zh-CN"/>
        </w:rPr>
        <w:t>2021—2023年度东片区保障性住房及配套设备设施日常小额维修项目建库</w:t>
      </w:r>
      <w:r>
        <w:rPr>
          <w:rFonts w:hint="eastAsia"/>
          <w:highlight w:val="none"/>
          <w:u w:val="single"/>
        </w:rPr>
        <w:t xml:space="preserve"> (项目编号：</w:t>
      </w:r>
      <w:r>
        <w:rPr>
          <w:rFonts w:hint="eastAsia"/>
          <w:highlight w:val="none"/>
          <w:u w:val="single"/>
          <w:lang w:eastAsia="zh-CN"/>
        </w:rPr>
        <w:t>ZKGSF(ZB)-2021</w:t>
      </w:r>
      <w:r>
        <w:rPr>
          <w:rFonts w:hint="eastAsia"/>
          <w:highlight w:val="none"/>
          <w:u w:val="single"/>
        </w:rPr>
        <w:t xml:space="preserve">) </w:t>
      </w:r>
      <w:r>
        <w:rPr>
          <w:rFonts w:hint="eastAsia"/>
          <w:highlight w:val="none"/>
        </w:rPr>
        <w:t xml:space="preserve">投标邀请，参与投标，并按招标文件要求提交所附资格文件且声明和保证如下：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highlight w:val="none"/>
        </w:rPr>
      </w:pPr>
      <w:r>
        <w:rPr>
          <w:rFonts w:hint="eastAsia"/>
          <w:highlight w:val="none"/>
          <w:lang w:val="en-US" w:eastAsia="zh-CN"/>
        </w:rPr>
        <w:t>1.</w:t>
      </w:r>
      <w:r>
        <w:rPr>
          <w:rFonts w:hint="eastAsia"/>
          <w:highlight w:val="none"/>
        </w:rPr>
        <w:t xml:space="preserve">我方为本次投标所提交的所有证明其合格和资格的文件是真实的和正确的，并愿为其真实性和正确性承担法律责任；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highlight w:val="none"/>
        </w:rPr>
      </w:pPr>
      <w:r>
        <w:rPr>
          <w:rFonts w:hint="eastAsia"/>
          <w:highlight w:val="none"/>
          <w:lang w:val="en-US" w:eastAsia="zh-CN"/>
        </w:rPr>
        <w:t>2.</w:t>
      </w:r>
      <w:r>
        <w:rPr>
          <w:rFonts w:hint="eastAsia"/>
          <w:highlight w:val="none"/>
        </w:rPr>
        <w:t>我方是依法注册的法人，在法律上、财务上和运作上完全独立于</w:t>
      </w:r>
      <w:r>
        <w:rPr>
          <w:rFonts w:hint="eastAsia"/>
          <w:highlight w:val="none"/>
          <w:u w:val="single"/>
        </w:rPr>
        <w:t>广州市</w:t>
      </w:r>
      <w:r>
        <w:rPr>
          <w:rFonts w:hint="eastAsia"/>
          <w:highlight w:val="none"/>
          <w:u w:val="single"/>
          <w:lang w:eastAsia="zh-CN"/>
        </w:rPr>
        <w:t>城</w:t>
      </w:r>
      <w:r>
        <w:rPr>
          <w:rFonts w:hint="eastAsia"/>
          <w:highlight w:val="none"/>
          <w:u w:val="single"/>
        </w:rPr>
        <w:t>壹物业发展有限公司</w:t>
      </w:r>
      <w:r>
        <w:rPr>
          <w:rFonts w:hint="eastAsia"/>
          <w:highlight w:val="none"/>
        </w:rPr>
        <w:t xml:space="preserve">（招标人）； </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highlight w:val="none"/>
        </w:rPr>
      </w:pPr>
      <w:r>
        <w:rPr>
          <w:rFonts w:hint="eastAsia"/>
          <w:highlight w:val="none"/>
          <w:lang w:val="en-US" w:eastAsia="zh-CN"/>
        </w:rPr>
        <w:t>3.</w:t>
      </w:r>
      <w:r>
        <w:rPr>
          <w:rFonts w:hint="eastAsia"/>
          <w:highlight w:val="none"/>
        </w:rPr>
        <w:t xml:space="preserve">我方在参加本次投标前 </w:t>
      </w:r>
      <w:r>
        <w:rPr>
          <w:rFonts w:hint="eastAsia"/>
          <w:highlight w:val="none"/>
          <w:u w:val="single"/>
        </w:rPr>
        <w:t xml:space="preserve">3 </w:t>
      </w:r>
      <w:r>
        <w:rPr>
          <w:rFonts w:hint="eastAsia"/>
          <w:highlight w:val="none"/>
        </w:rPr>
        <w:t xml:space="preserve">年内，在经营活动及参与招标投标活动中没有重大违法活动及涉嫌违规行为，并没有因而被有关部门警告或处分的记录。 </w:t>
      </w:r>
    </w:p>
    <w:p>
      <w:pPr>
        <w:pStyle w:val="8"/>
        <w:spacing w:before="8" w:line="360" w:lineRule="auto"/>
        <w:ind w:left="426" w:leftChars="0" w:firstLine="672" w:firstLineChars="320"/>
        <w:rPr>
          <w:rFonts w:hint="eastAsia"/>
          <w:highlight w:val="none"/>
        </w:rPr>
      </w:pPr>
    </w:p>
    <w:p>
      <w:pPr>
        <w:pStyle w:val="8"/>
        <w:spacing w:before="8" w:line="360" w:lineRule="auto"/>
        <w:ind w:left="426" w:leftChars="0" w:firstLine="672" w:firstLineChars="320"/>
        <w:rPr>
          <w:rFonts w:hint="eastAsia"/>
          <w:highlight w:val="none"/>
        </w:rPr>
      </w:pPr>
      <w:r>
        <w:rPr>
          <w:rFonts w:hint="eastAsia"/>
          <w:highlight w:val="none"/>
        </w:rPr>
        <w:t xml:space="preserve">特此声明！ </w:t>
      </w:r>
    </w:p>
    <w:p>
      <w:pPr>
        <w:pStyle w:val="8"/>
        <w:spacing w:before="8" w:line="360" w:lineRule="auto"/>
        <w:ind w:left="426" w:leftChars="0" w:firstLine="672" w:firstLineChars="320"/>
        <w:rPr>
          <w:rFonts w:hint="eastAsia"/>
          <w:highlight w:val="none"/>
        </w:rPr>
      </w:pPr>
    </w:p>
    <w:p>
      <w:pPr>
        <w:pStyle w:val="8"/>
        <w:spacing w:before="8" w:line="360" w:lineRule="auto"/>
        <w:ind w:left="426" w:leftChars="0" w:firstLine="672" w:firstLineChars="320"/>
        <w:rPr>
          <w:rFonts w:hint="eastAsia"/>
          <w:highlight w:val="none"/>
        </w:rPr>
      </w:pPr>
    </w:p>
    <w:p>
      <w:pPr>
        <w:pStyle w:val="8"/>
        <w:spacing w:before="8" w:line="360" w:lineRule="auto"/>
        <w:ind w:left="426" w:leftChars="0" w:firstLine="672" w:firstLineChars="320"/>
        <w:rPr>
          <w:rFonts w:hint="eastAsia"/>
          <w:highlight w:val="none"/>
        </w:rPr>
      </w:pPr>
      <w:r>
        <w:rPr>
          <w:rFonts w:hint="eastAsia"/>
          <w:highlight w:val="none"/>
        </w:rPr>
        <w:t>投标人名称（盖公章）：</w:t>
      </w:r>
    </w:p>
    <w:p>
      <w:pPr>
        <w:pStyle w:val="8"/>
        <w:spacing w:before="8" w:line="360" w:lineRule="auto"/>
        <w:ind w:left="426" w:leftChars="0" w:firstLine="672" w:firstLineChars="320"/>
        <w:rPr>
          <w:rFonts w:hint="eastAsia"/>
          <w:highlight w:val="none"/>
        </w:rPr>
      </w:pPr>
      <w:r>
        <w:rPr>
          <w:rFonts w:hint="eastAsia"/>
          <w:highlight w:val="none"/>
        </w:rPr>
        <w:t>投标人授权代表（签字或盖章）：</w:t>
      </w:r>
    </w:p>
    <w:p>
      <w:pPr>
        <w:pStyle w:val="8"/>
        <w:spacing w:before="8" w:line="360" w:lineRule="auto"/>
        <w:ind w:left="426" w:leftChars="0" w:firstLine="672" w:firstLineChars="320"/>
        <w:rPr>
          <w:rFonts w:hint="eastAsia"/>
          <w:highlight w:val="none"/>
        </w:rPr>
      </w:pPr>
      <w:r>
        <w:rPr>
          <w:rFonts w:hint="eastAsia"/>
          <w:highlight w:val="none"/>
        </w:rPr>
        <w:t xml:space="preserve">日 期 ： 年 月 日 </w:t>
      </w:r>
    </w:p>
    <w:p>
      <w:pPr>
        <w:pStyle w:val="8"/>
        <w:spacing w:before="8" w:line="360" w:lineRule="auto"/>
        <w:ind w:left="426" w:leftChars="0" w:firstLine="672" w:firstLineChars="320"/>
        <w:rPr>
          <w:rFonts w:hint="eastAsia"/>
          <w:highlight w:val="none"/>
        </w:rPr>
        <w:sectPr>
          <w:pgSz w:w="11910" w:h="16850"/>
          <w:pgMar w:top="1440" w:right="1080" w:bottom="1440" w:left="1080" w:header="0" w:footer="735"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5</w:t>
      </w:r>
      <w:r>
        <w:rPr>
          <w:rFonts w:hint="eastAsia" w:ascii="宋体" w:hAnsi="宋体" w:eastAsia="宋体" w:cs="宋体"/>
          <w:b/>
          <w:bCs/>
          <w:kern w:val="2"/>
          <w:sz w:val="21"/>
          <w:szCs w:val="24"/>
          <w:highlight w:val="none"/>
          <w:lang w:val="zh-CN" w:eastAsia="zh-CN" w:bidi="ar-SA"/>
        </w:rPr>
        <w:t xml:space="preserve"> 投标函 </w:t>
      </w:r>
    </w:p>
    <w:p>
      <w:pPr>
        <w:pStyle w:val="8"/>
        <w:ind w:firstLine="420" w:firstLineChars="200"/>
        <w:rPr>
          <w:highlight w:val="none"/>
        </w:rPr>
      </w:pPr>
    </w:p>
    <w:p>
      <w:pPr>
        <w:autoSpaceDE/>
        <w:autoSpaceDN/>
        <w:spacing w:before="0" w:after="0" w:line="480" w:lineRule="auto"/>
        <w:ind w:right="0"/>
        <w:jc w:val="center"/>
        <w:rPr>
          <w:rFonts w:hint="eastAsia" w:ascii="宋体" w:hAnsi="宋体" w:eastAsia="宋体" w:cs="宋体"/>
          <w:b/>
          <w:bCs/>
          <w:kern w:val="2"/>
          <w:sz w:val="36"/>
          <w:szCs w:val="44"/>
          <w:highlight w:val="none"/>
          <w:lang w:val="zh-CN" w:eastAsia="zh-CN" w:bidi="ar-SA"/>
        </w:rPr>
        <w:sectPr>
          <w:pgSz w:w="11910" w:h="16850"/>
          <w:pgMar w:top="1440" w:right="1080" w:bottom="1440" w:left="1080" w:header="0" w:footer="735" w:gutter="0"/>
          <w:cols w:space="425" w:num="1"/>
        </w:sectPr>
      </w:pPr>
      <w:r>
        <w:rPr>
          <w:rFonts w:hint="eastAsia" w:ascii="宋体" w:hAnsi="宋体" w:eastAsia="宋体" w:cs="宋体"/>
          <w:b/>
          <w:bCs/>
          <w:kern w:val="2"/>
          <w:sz w:val="36"/>
          <w:szCs w:val="44"/>
          <w:highlight w:val="none"/>
          <w:lang w:val="zh-CN" w:eastAsia="zh-CN" w:bidi="ar-SA"/>
        </w:rPr>
        <w:t>投 标 函</w:t>
      </w:r>
    </w:p>
    <w:p>
      <w:pPr>
        <w:spacing w:before="201"/>
        <w:ind w:left="908" w:right="5240" w:firstLine="596" w:firstLineChars="200"/>
        <w:jc w:val="center"/>
        <w:rPr>
          <w:b/>
          <w:sz w:val="30"/>
          <w:highlight w:val="none"/>
        </w:rPr>
      </w:pPr>
      <w:r>
        <w:rPr>
          <w:b/>
          <w:w w:val="99"/>
          <w:sz w:val="30"/>
          <w:highlight w:val="none"/>
        </w:rPr>
        <w:t xml:space="preserve"> </w:t>
      </w:r>
    </w:p>
    <w:p>
      <w:pPr>
        <w:spacing w:after="0"/>
        <w:ind w:firstLine="0" w:firstLineChars="0"/>
        <w:jc w:val="center"/>
        <w:rPr>
          <w:sz w:val="30"/>
          <w:highlight w:val="none"/>
        </w:rPr>
        <w:sectPr>
          <w:type w:val="continuous"/>
          <w:pgSz w:w="11910" w:h="16850"/>
          <w:pgMar w:top="1440" w:right="1080" w:bottom="1440" w:left="1080" w:header="0" w:footer="735" w:gutter="0"/>
          <w:cols w:equalWidth="0" w:num="2">
            <w:col w:w="2070" w:space="1365"/>
            <w:col w:w="6315"/>
          </w:cols>
        </w:sectPr>
      </w:pP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 xml:space="preserve">致：中科高盛咨询集团有限公司/广州市城壹物业发展有限公司 </w:t>
      </w:r>
    </w:p>
    <w:p>
      <w:pPr>
        <w:pStyle w:val="20"/>
        <w:spacing w:line="360" w:lineRule="auto"/>
        <w:rPr>
          <w:rFonts w:hint="eastAsia"/>
          <w:sz w:val="24"/>
          <w:highlight w:val="none"/>
          <w:lang w:val="zh-CN" w:eastAsia="zh-CN"/>
        </w:rPr>
      </w:pPr>
      <w:r>
        <w:rPr>
          <w:rFonts w:hint="eastAsia"/>
          <w:sz w:val="24"/>
          <w:highlight w:val="none"/>
          <w:lang w:val="zh-CN" w:eastAsia="zh-CN"/>
        </w:rPr>
        <w:t>根据贵方招标的项目名称：</w:t>
      </w:r>
      <w:r>
        <w:rPr>
          <w:rFonts w:hint="eastAsia"/>
          <w:sz w:val="24"/>
          <w:highlight w:val="none"/>
          <w:u w:val="single"/>
          <w:lang w:val="zh-CN" w:eastAsia="zh-CN"/>
        </w:rPr>
        <w:t xml:space="preserve">2021—2023年度东片区保障性住房及配套设备设施日常小额维修项目建库 (项目编号：ZKGSF(ZB)-2021) </w:t>
      </w:r>
      <w:r>
        <w:rPr>
          <w:rFonts w:hint="eastAsia"/>
          <w:sz w:val="24"/>
          <w:highlight w:val="none"/>
          <w:lang w:val="zh-CN" w:eastAsia="zh-CN"/>
        </w:rPr>
        <w:t xml:space="preserve">的招标文件要求，签字代表 </w:t>
      </w:r>
      <w:r>
        <w:rPr>
          <w:rFonts w:hint="eastAsia"/>
          <w:sz w:val="24"/>
          <w:highlight w:val="none"/>
          <w:u w:val="single"/>
          <w:lang w:val="zh-CN" w:eastAsia="zh-CN"/>
        </w:rPr>
        <w:tab/>
      </w:r>
      <w:r>
        <w:rPr>
          <w:rFonts w:hint="eastAsia"/>
          <w:sz w:val="24"/>
          <w:highlight w:val="none"/>
          <w:u w:val="single"/>
          <w:lang w:val="zh-CN" w:eastAsia="zh-CN"/>
        </w:rPr>
        <w:t>(全名及职衔)</w:t>
      </w:r>
      <w:r>
        <w:rPr>
          <w:rFonts w:hint="eastAsia"/>
          <w:sz w:val="24"/>
          <w:highlight w:val="none"/>
          <w:lang w:val="zh-CN" w:eastAsia="zh-CN"/>
        </w:rPr>
        <w:t>经正式授权并以投标人</w:t>
      </w:r>
      <w:r>
        <w:rPr>
          <w:rFonts w:hint="eastAsia"/>
          <w:sz w:val="24"/>
          <w:highlight w:val="none"/>
          <w:u w:val="single"/>
          <w:lang w:val="zh-CN" w:eastAsia="zh-CN"/>
        </w:rPr>
        <w:t xml:space="preserve"> (投标人名称、地址)</w:t>
      </w:r>
      <w:r>
        <w:rPr>
          <w:rFonts w:hint="eastAsia"/>
          <w:sz w:val="24"/>
          <w:highlight w:val="none"/>
          <w:lang w:val="zh-CN" w:eastAsia="zh-CN"/>
        </w:rPr>
        <w:t xml:space="preserve">的名义投标，并提交投标文件。在此，我方声明如下： </w:t>
      </w:r>
    </w:p>
    <w:p>
      <w:pPr>
        <w:pStyle w:val="20"/>
        <w:spacing w:line="360" w:lineRule="auto"/>
        <w:rPr>
          <w:rFonts w:hint="eastAsia"/>
          <w:sz w:val="24"/>
          <w:highlight w:val="none"/>
        </w:rPr>
      </w:pPr>
      <w:r>
        <w:rPr>
          <w:rFonts w:hint="eastAsia"/>
          <w:sz w:val="24"/>
          <w:highlight w:val="none"/>
        </w:rPr>
        <w:t xml:space="preserve">1.我方同意并接受招标文件的各项要求，遵守招标文件中的各项规定，按招标文件的要求进行投标。 </w:t>
      </w:r>
    </w:p>
    <w:p>
      <w:pPr>
        <w:pStyle w:val="20"/>
        <w:spacing w:line="360" w:lineRule="auto"/>
        <w:rPr>
          <w:rFonts w:hint="eastAsia"/>
          <w:sz w:val="24"/>
          <w:highlight w:val="none"/>
        </w:rPr>
      </w:pPr>
      <w:r>
        <w:rPr>
          <w:rFonts w:hint="eastAsia"/>
          <w:sz w:val="24"/>
          <w:highlight w:val="none"/>
        </w:rPr>
        <w:t xml:space="preserve">2.我方同意投标有效期为投标截止日起 90 日。如果我方的中标，投标有效期延长至合同验收之日。 </w:t>
      </w:r>
    </w:p>
    <w:p>
      <w:pPr>
        <w:pStyle w:val="20"/>
        <w:spacing w:line="360" w:lineRule="auto"/>
        <w:rPr>
          <w:rFonts w:hint="eastAsia"/>
          <w:sz w:val="24"/>
          <w:highlight w:val="none"/>
        </w:rPr>
      </w:pPr>
      <w:r>
        <w:rPr>
          <w:rFonts w:hint="eastAsia"/>
          <w:sz w:val="24"/>
          <w:highlight w:val="none"/>
        </w:rPr>
        <w:t xml:space="preserve">3.我方已经详细地阅读并完全明白了全部招标文件及附件，包括澄清、修改（如有）和所有已提供的参考资料以及有关附件，我方完全明白并认为此招标文件没有倾向性，也不存在排斥潜在投标人的内容，我方同意招标文件的相关条款，放弃对招标文件提出误解和质疑的一切权力。 </w:t>
      </w:r>
    </w:p>
    <w:p>
      <w:pPr>
        <w:pStyle w:val="20"/>
        <w:spacing w:line="360" w:lineRule="auto"/>
        <w:rPr>
          <w:rFonts w:hint="eastAsia"/>
          <w:sz w:val="24"/>
          <w:highlight w:val="none"/>
        </w:rPr>
      </w:pPr>
      <w:r>
        <w:rPr>
          <w:rFonts w:hint="eastAsia"/>
          <w:sz w:val="24"/>
          <w:highlight w:val="none"/>
        </w:rPr>
        <w:t xml:space="preserve">4.我方已毫无保留地向贵方提供一切所需的证明材料。 </w:t>
      </w:r>
    </w:p>
    <w:p>
      <w:pPr>
        <w:pStyle w:val="20"/>
        <w:spacing w:line="360" w:lineRule="auto"/>
        <w:rPr>
          <w:rFonts w:hint="eastAsia"/>
          <w:sz w:val="24"/>
          <w:highlight w:val="none"/>
        </w:rPr>
      </w:pPr>
      <w:r>
        <w:rPr>
          <w:rFonts w:hint="eastAsia"/>
          <w:sz w:val="24"/>
          <w:highlight w:val="none"/>
        </w:rPr>
        <w:t xml:space="preserve">5.我方完全服从和尊重评委会所作的评定结果。 </w:t>
      </w:r>
    </w:p>
    <w:p>
      <w:pPr>
        <w:pStyle w:val="20"/>
        <w:spacing w:line="360" w:lineRule="auto"/>
        <w:rPr>
          <w:rFonts w:hint="eastAsia"/>
          <w:sz w:val="24"/>
          <w:highlight w:val="none"/>
        </w:rPr>
      </w:pPr>
      <w:r>
        <w:rPr>
          <w:rFonts w:hint="eastAsia"/>
          <w:sz w:val="24"/>
          <w:highlight w:val="none"/>
        </w:rPr>
        <w:t xml:space="preserve">6.完全理解招标代理机构拒绝迟到的任何投标。 </w:t>
      </w:r>
    </w:p>
    <w:p>
      <w:pPr>
        <w:pStyle w:val="20"/>
        <w:spacing w:line="360" w:lineRule="auto"/>
        <w:rPr>
          <w:rFonts w:hint="eastAsia"/>
          <w:sz w:val="24"/>
          <w:highlight w:val="none"/>
        </w:rPr>
      </w:pPr>
      <w:r>
        <w:rPr>
          <w:rFonts w:hint="eastAsia"/>
          <w:strike w:val="0"/>
          <w:dstrike w:val="0"/>
          <w:sz w:val="24"/>
          <w:highlight w:val="none"/>
        </w:rPr>
        <w:t>7.如果我方在中标后未能按规定签订采购合同或在投标有效期内撤回投标，其投标保证金将被贵方没收。</w:t>
      </w:r>
      <w:r>
        <w:rPr>
          <w:rFonts w:hint="eastAsia"/>
          <w:sz w:val="24"/>
          <w:highlight w:val="none"/>
        </w:rPr>
        <w:t xml:space="preserve"> </w:t>
      </w:r>
    </w:p>
    <w:p>
      <w:pPr>
        <w:pStyle w:val="20"/>
        <w:spacing w:line="360" w:lineRule="auto"/>
        <w:rPr>
          <w:rFonts w:hint="eastAsia"/>
          <w:sz w:val="24"/>
          <w:highlight w:val="none"/>
        </w:rPr>
      </w:pPr>
      <w:r>
        <w:rPr>
          <w:rFonts w:hint="eastAsia"/>
          <w:sz w:val="24"/>
          <w:highlight w:val="none"/>
        </w:rPr>
        <w:t xml:space="preserve">8.如果我方未对招标文件要求作实质性响应，则完全同意并接受按无效投标处理。 </w:t>
      </w:r>
    </w:p>
    <w:p>
      <w:pPr>
        <w:pStyle w:val="20"/>
        <w:spacing w:line="360" w:lineRule="auto"/>
        <w:rPr>
          <w:rFonts w:hint="eastAsia"/>
          <w:sz w:val="24"/>
          <w:highlight w:val="none"/>
        </w:rPr>
      </w:pPr>
      <w:r>
        <w:rPr>
          <w:rFonts w:hint="eastAsia"/>
          <w:sz w:val="24"/>
          <w:highlight w:val="none"/>
        </w:rPr>
        <w:t xml:space="preserve">9.我们证明提交的一切文件，无论是原件还是复印件均为准确、真实、有效、完整的，绝无任何虚假、伪造或者夸大。我们在此郑重承诺：在本次招标采购活动中，如有违法、违规、弄虚作假行为，所造成的损失、不良后果及法律责 任，一律由我公司（企业）承担。 </w:t>
      </w:r>
    </w:p>
    <w:p>
      <w:pPr>
        <w:pStyle w:val="20"/>
        <w:spacing w:line="360" w:lineRule="auto"/>
        <w:rPr>
          <w:sz w:val="24"/>
          <w:highlight w:val="none"/>
        </w:rPr>
      </w:pPr>
      <w:r>
        <w:rPr>
          <w:rFonts w:hint="eastAsia"/>
          <w:sz w:val="24"/>
          <w:highlight w:val="none"/>
        </w:rPr>
        <w:t>我方同意按招标文件规定向招标代理机构缴纳招标代理服务费。</w:t>
      </w:r>
      <w:r>
        <w:rPr>
          <w:sz w:val="24"/>
          <w:highlight w:val="none"/>
        </w:rPr>
        <w:t xml:space="preserve"> </w:t>
      </w:r>
    </w:p>
    <w:p>
      <w:pPr>
        <w:spacing w:after="0" w:line="240" w:lineRule="auto"/>
        <w:ind w:firstLine="0" w:firstLineChars="0"/>
        <w:jc w:val="left"/>
        <w:rPr>
          <w:sz w:val="24"/>
          <w:highlight w:val="none"/>
        </w:rPr>
        <w:sectPr>
          <w:type w:val="continuous"/>
          <w:pgSz w:w="11910" w:h="16850"/>
          <w:pgMar w:top="1440" w:right="1080" w:bottom="1440" w:left="1080" w:header="720" w:footer="720" w:gutter="0"/>
          <w:cols w:space="720" w:num="1"/>
        </w:sectPr>
      </w:pPr>
    </w:p>
    <w:p>
      <w:pPr>
        <w:pStyle w:val="20"/>
        <w:spacing w:line="360" w:lineRule="auto"/>
        <w:rPr>
          <w:rFonts w:hint="eastAsia"/>
          <w:b/>
          <w:bCs/>
          <w:sz w:val="24"/>
          <w:highlight w:val="none"/>
        </w:rPr>
      </w:pPr>
      <w:r>
        <w:rPr>
          <w:rFonts w:hint="eastAsia"/>
          <w:b/>
          <w:bCs/>
          <w:sz w:val="24"/>
          <w:highlight w:val="none"/>
        </w:rPr>
        <w:t xml:space="preserve">（注：本投标函内容不得擅自删改，否则视为无效投标） </w:t>
      </w:r>
    </w:p>
    <w:p>
      <w:pPr>
        <w:pStyle w:val="20"/>
        <w:spacing w:line="360" w:lineRule="auto"/>
        <w:rPr>
          <w:rFonts w:hint="eastAsia"/>
          <w:sz w:val="24"/>
          <w:highlight w:val="none"/>
        </w:rPr>
      </w:pPr>
      <w:r>
        <w:rPr>
          <w:rFonts w:hint="eastAsia"/>
          <w:sz w:val="24"/>
          <w:highlight w:val="none"/>
        </w:rPr>
        <w:t xml:space="preserve">投标人名称（盖公章）：                        </w:t>
      </w:r>
    </w:p>
    <w:p>
      <w:pPr>
        <w:pStyle w:val="20"/>
        <w:spacing w:line="360" w:lineRule="auto"/>
        <w:rPr>
          <w:rFonts w:hint="eastAsia"/>
          <w:sz w:val="24"/>
          <w:highlight w:val="none"/>
        </w:rPr>
      </w:pPr>
      <w:r>
        <w:rPr>
          <w:rFonts w:hint="eastAsia"/>
          <w:sz w:val="24"/>
          <w:highlight w:val="none"/>
        </w:rPr>
        <w:t xml:space="preserve">投标人授权代表（签字或盖章）： </w:t>
      </w:r>
    </w:p>
    <w:p>
      <w:pPr>
        <w:pStyle w:val="20"/>
        <w:spacing w:line="360" w:lineRule="auto"/>
        <w:rPr>
          <w:rFonts w:hint="eastAsia"/>
          <w:sz w:val="24"/>
          <w:highlight w:val="none"/>
        </w:rPr>
      </w:pPr>
      <w:r>
        <w:rPr>
          <w:rFonts w:hint="eastAsia"/>
          <w:sz w:val="24"/>
          <w:highlight w:val="none"/>
        </w:rPr>
        <w:t>日 期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年 </w:t>
      </w:r>
      <w:r>
        <w:rPr>
          <w:rFonts w:hint="eastAsia"/>
          <w:sz w:val="24"/>
          <w:highlight w:val="none"/>
          <w:u w:val="single"/>
          <w:lang w:val="en-US" w:eastAsia="zh-CN"/>
        </w:rPr>
        <w:t xml:space="preserve">  </w:t>
      </w:r>
      <w:r>
        <w:rPr>
          <w:rFonts w:hint="eastAsia"/>
          <w:sz w:val="24"/>
          <w:highlight w:val="none"/>
          <w:u w:val="single"/>
        </w:rPr>
        <w:t>月</w:t>
      </w:r>
      <w:r>
        <w:rPr>
          <w:rFonts w:hint="eastAsia"/>
          <w:sz w:val="24"/>
          <w:highlight w:val="none"/>
          <w:u w:val="single"/>
          <w:lang w:val="en-US" w:eastAsia="zh-CN"/>
        </w:rPr>
        <w:t xml:space="preserve">   </w:t>
      </w:r>
      <w:r>
        <w:rPr>
          <w:rFonts w:hint="eastAsia"/>
          <w:sz w:val="24"/>
          <w:highlight w:val="none"/>
          <w:u w:val="single"/>
        </w:rPr>
        <w:t xml:space="preserve"> 日</w:t>
      </w:r>
      <w:r>
        <w:rPr>
          <w:rFonts w:hint="eastAsia"/>
          <w:sz w:val="24"/>
          <w:highlight w:val="none"/>
        </w:rPr>
        <w:t xml:space="preserve"> </w:t>
      </w:r>
    </w:p>
    <w:p>
      <w:pPr>
        <w:spacing w:after="0"/>
        <w:ind w:firstLine="0" w:firstLineChars="0"/>
        <w:jc w:val="left"/>
        <w:rPr>
          <w:sz w:val="21"/>
          <w:highlight w:val="none"/>
        </w:rPr>
        <w:sectPr>
          <w:pgSz w:w="11910" w:h="16850"/>
          <w:pgMar w:top="1440" w:right="1080" w:bottom="1440" w:left="1080" w:header="0" w:footer="735"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6</w:t>
      </w:r>
      <w:r>
        <w:rPr>
          <w:rFonts w:hint="eastAsia" w:ascii="宋体" w:hAnsi="宋体" w:eastAsia="宋体" w:cs="宋体"/>
          <w:b/>
          <w:bCs/>
          <w:kern w:val="2"/>
          <w:sz w:val="21"/>
          <w:szCs w:val="24"/>
          <w:highlight w:val="none"/>
          <w:lang w:val="zh-CN" w:eastAsia="zh-CN" w:bidi="ar-SA"/>
        </w:rPr>
        <w:t xml:space="preserve"> 201</w:t>
      </w:r>
      <w:r>
        <w:rPr>
          <w:rFonts w:hint="eastAsia" w:cs="宋体"/>
          <w:b/>
          <w:bCs/>
          <w:kern w:val="2"/>
          <w:sz w:val="21"/>
          <w:szCs w:val="24"/>
          <w:highlight w:val="none"/>
          <w:lang w:val="en-US" w:eastAsia="zh-CN" w:bidi="ar-SA"/>
        </w:rPr>
        <w:t>8</w:t>
      </w:r>
      <w:r>
        <w:rPr>
          <w:rFonts w:hint="eastAsia" w:ascii="宋体" w:hAnsi="宋体" w:eastAsia="宋体" w:cs="宋体"/>
          <w:b/>
          <w:bCs/>
          <w:kern w:val="2"/>
          <w:sz w:val="21"/>
          <w:szCs w:val="24"/>
          <w:highlight w:val="none"/>
          <w:lang w:val="zh-CN" w:eastAsia="zh-CN" w:bidi="ar-SA"/>
        </w:rPr>
        <w:t xml:space="preserve">年至今同类项目业绩一览表 </w:t>
      </w:r>
    </w:p>
    <w:p>
      <w:pPr>
        <w:autoSpaceDE/>
        <w:autoSpaceDN/>
        <w:spacing w:before="0" w:after="0" w:line="480" w:lineRule="auto"/>
        <w:ind w:right="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201</w:t>
      </w:r>
      <w:r>
        <w:rPr>
          <w:rFonts w:hint="eastAsia" w:cs="宋体"/>
          <w:b/>
          <w:bCs/>
          <w:kern w:val="2"/>
          <w:sz w:val="36"/>
          <w:szCs w:val="44"/>
          <w:highlight w:val="none"/>
          <w:lang w:val="en-US" w:eastAsia="zh-CN" w:bidi="ar-SA"/>
        </w:rPr>
        <w:t>8</w:t>
      </w:r>
      <w:r>
        <w:rPr>
          <w:rFonts w:hint="eastAsia" w:ascii="宋体" w:hAnsi="宋体" w:eastAsia="宋体" w:cs="宋体"/>
          <w:b/>
          <w:bCs/>
          <w:kern w:val="2"/>
          <w:sz w:val="36"/>
          <w:szCs w:val="44"/>
          <w:highlight w:val="none"/>
          <w:lang w:val="zh-CN" w:eastAsia="zh-CN" w:bidi="ar-SA"/>
        </w:rPr>
        <w:t xml:space="preserve">年至今同类项目业绩一览表 </w:t>
      </w:r>
    </w:p>
    <w:tbl>
      <w:tblPr>
        <w:tblStyle w:val="16"/>
        <w:tblW w:w="0" w:type="auto"/>
        <w:tblInd w:w="12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99"/>
        <w:gridCol w:w="1457"/>
        <w:gridCol w:w="1668"/>
        <w:gridCol w:w="1262"/>
        <w:gridCol w:w="2389"/>
        <w:gridCol w:w="22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5" w:hRule="atLeast"/>
        </w:trPr>
        <w:tc>
          <w:tcPr>
            <w:tcW w:w="699" w:type="dxa"/>
            <w:tcBorders>
              <w:bottom w:val="single" w:color="000000" w:sz="6" w:space="0"/>
              <w:right w:val="single" w:color="000000" w:sz="6" w:space="0"/>
            </w:tcBorders>
          </w:tcPr>
          <w:p>
            <w:pPr>
              <w:pStyle w:val="23"/>
              <w:spacing w:before="120"/>
              <w:ind w:left="152" w:right="3" w:firstLine="0" w:firstLineChars="0"/>
              <w:jc w:val="center"/>
              <w:rPr>
                <w:sz w:val="24"/>
                <w:highlight w:val="none"/>
              </w:rPr>
            </w:pPr>
            <w:r>
              <w:rPr>
                <w:sz w:val="24"/>
                <w:highlight w:val="none"/>
              </w:rPr>
              <w:t xml:space="preserve">序号 </w:t>
            </w:r>
          </w:p>
        </w:tc>
        <w:tc>
          <w:tcPr>
            <w:tcW w:w="1457" w:type="dxa"/>
            <w:tcBorders>
              <w:left w:val="single" w:color="000000" w:sz="6" w:space="0"/>
              <w:bottom w:val="single" w:color="000000" w:sz="6" w:space="0"/>
              <w:right w:val="single" w:color="000000" w:sz="6" w:space="0"/>
            </w:tcBorders>
          </w:tcPr>
          <w:p>
            <w:pPr>
              <w:pStyle w:val="23"/>
              <w:spacing w:before="120"/>
              <w:ind w:left="175" w:right="26" w:firstLine="0" w:firstLineChars="0"/>
              <w:jc w:val="center"/>
              <w:rPr>
                <w:sz w:val="24"/>
                <w:highlight w:val="none"/>
              </w:rPr>
            </w:pPr>
            <w:r>
              <w:rPr>
                <w:sz w:val="24"/>
                <w:highlight w:val="none"/>
              </w:rPr>
              <w:t xml:space="preserve">招标人名称 </w:t>
            </w:r>
          </w:p>
        </w:tc>
        <w:tc>
          <w:tcPr>
            <w:tcW w:w="1668" w:type="dxa"/>
            <w:tcBorders>
              <w:left w:val="single" w:color="000000" w:sz="6" w:space="0"/>
              <w:bottom w:val="single" w:color="000000" w:sz="6" w:space="0"/>
              <w:right w:val="single" w:color="000000" w:sz="6" w:space="0"/>
            </w:tcBorders>
          </w:tcPr>
          <w:p>
            <w:pPr>
              <w:pStyle w:val="23"/>
              <w:spacing w:before="120"/>
              <w:ind w:left="385" w:right="268" w:firstLine="0" w:firstLineChars="0"/>
              <w:jc w:val="center"/>
              <w:rPr>
                <w:sz w:val="24"/>
                <w:highlight w:val="none"/>
              </w:rPr>
            </w:pPr>
            <w:r>
              <w:rPr>
                <w:sz w:val="24"/>
                <w:highlight w:val="none"/>
              </w:rPr>
              <w:t xml:space="preserve">项目名称 </w:t>
            </w:r>
          </w:p>
        </w:tc>
        <w:tc>
          <w:tcPr>
            <w:tcW w:w="1262" w:type="dxa"/>
            <w:tcBorders>
              <w:left w:val="single" w:color="000000" w:sz="6" w:space="0"/>
              <w:bottom w:val="single" w:color="000000" w:sz="6" w:space="0"/>
              <w:right w:val="single" w:color="000000" w:sz="6" w:space="0"/>
            </w:tcBorders>
          </w:tcPr>
          <w:p>
            <w:pPr>
              <w:pStyle w:val="23"/>
              <w:spacing w:before="120"/>
              <w:ind w:left="189" w:right="58" w:firstLine="0" w:firstLineChars="0"/>
              <w:jc w:val="center"/>
              <w:rPr>
                <w:sz w:val="24"/>
                <w:highlight w:val="none"/>
              </w:rPr>
            </w:pPr>
            <w:r>
              <w:rPr>
                <w:sz w:val="24"/>
                <w:highlight w:val="none"/>
              </w:rPr>
              <w:t xml:space="preserve">合同总价 </w:t>
            </w:r>
          </w:p>
        </w:tc>
        <w:tc>
          <w:tcPr>
            <w:tcW w:w="2389" w:type="dxa"/>
            <w:tcBorders>
              <w:left w:val="single" w:color="000000" w:sz="6" w:space="0"/>
              <w:bottom w:val="single" w:color="000000" w:sz="6" w:space="0"/>
              <w:right w:val="single" w:color="000000" w:sz="6" w:space="0"/>
            </w:tcBorders>
          </w:tcPr>
          <w:p>
            <w:pPr>
              <w:pStyle w:val="23"/>
              <w:spacing w:before="120"/>
              <w:ind w:left="160" w:right="14" w:firstLine="0" w:firstLineChars="0"/>
              <w:jc w:val="center"/>
              <w:rPr>
                <w:sz w:val="24"/>
                <w:highlight w:val="none"/>
              </w:rPr>
            </w:pPr>
            <w:r>
              <w:rPr>
                <w:sz w:val="24"/>
                <w:highlight w:val="none"/>
              </w:rPr>
              <w:t xml:space="preserve">签约日期及完成时间 </w:t>
            </w:r>
          </w:p>
        </w:tc>
        <w:tc>
          <w:tcPr>
            <w:tcW w:w="2202" w:type="dxa"/>
            <w:tcBorders>
              <w:left w:val="single" w:color="000000" w:sz="6" w:space="0"/>
              <w:bottom w:val="single" w:color="000000" w:sz="6" w:space="0"/>
            </w:tcBorders>
          </w:tcPr>
          <w:p>
            <w:pPr>
              <w:pStyle w:val="23"/>
              <w:spacing w:before="120"/>
              <w:ind w:left="172" w:right="46" w:firstLine="0" w:firstLineChars="0"/>
              <w:jc w:val="center"/>
              <w:rPr>
                <w:sz w:val="24"/>
                <w:highlight w:val="none"/>
              </w:rPr>
            </w:pPr>
            <w:r>
              <w:rPr>
                <w:sz w:val="24"/>
                <w:highlight w:val="none"/>
              </w:rPr>
              <w:t xml:space="preserve">单位联系人及电话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699" w:type="dxa"/>
            <w:tcBorders>
              <w:top w:val="single" w:color="000000" w:sz="6" w:space="0"/>
              <w:bottom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bottom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bottom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bottom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bottom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bottom w:val="single" w:color="000000" w:sz="6" w:space="0"/>
            </w:tcBorders>
          </w:tcPr>
          <w:p>
            <w:pPr>
              <w:pStyle w:val="23"/>
              <w:spacing w:before="60"/>
              <w:ind w:left="12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699" w:type="dxa"/>
            <w:tcBorders>
              <w:top w:val="single" w:color="000000" w:sz="6" w:space="0"/>
              <w:right w:val="single" w:color="000000" w:sz="6" w:space="0"/>
            </w:tcBorders>
          </w:tcPr>
          <w:p>
            <w:pPr>
              <w:pStyle w:val="23"/>
              <w:spacing w:before="60"/>
              <w:ind w:left="134" w:firstLine="0" w:firstLineChars="0"/>
              <w:jc w:val="center"/>
              <w:rPr>
                <w:sz w:val="24"/>
                <w:highlight w:val="none"/>
              </w:rPr>
            </w:pPr>
          </w:p>
        </w:tc>
        <w:tc>
          <w:tcPr>
            <w:tcW w:w="1457" w:type="dxa"/>
            <w:tcBorders>
              <w:top w:val="single" w:color="000000" w:sz="6" w:space="0"/>
              <w:left w:val="single" w:color="000000" w:sz="6" w:space="0"/>
              <w:right w:val="single" w:color="000000" w:sz="6" w:space="0"/>
            </w:tcBorders>
          </w:tcPr>
          <w:p>
            <w:pPr>
              <w:pStyle w:val="23"/>
              <w:spacing w:before="60"/>
              <w:ind w:left="149" w:firstLine="0" w:firstLineChars="0"/>
              <w:jc w:val="center"/>
              <w:rPr>
                <w:sz w:val="24"/>
                <w:highlight w:val="none"/>
              </w:rPr>
            </w:pPr>
          </w:p>
        </w:tc>
        <w:tc>
          <w:tcPr>
            <w:tcW w:w="1668" w:type="dxa"/>
            <w:tcBorders>
              <w:top w:val="single" w:color="000000" w:sz="6" w:space="0"/>
              <w:left w:val="single" w:color="000000" w:sz="6" w:space="0"/>
              <w:right w:val="single" w:color="000000" w:sz="6" w:space="0"/>
            </w:tcBorders>
          </w:tcPr>
          <w:p>
            <w:pPr>
              <w:pStyle w:val="23"/>
              <w:spacing w:before="60"/>
              <w:ind w:left="117" w:firstLine="0" w:firstLineChars="0"/>
              <w:jc w:val="center"/>
              <w:rPr>
                <w:sz w:val="24"/>
                <w:highlight w:val="none"/>
              </w:rPr>
            </w:pPr>
          </w:p>
        </w:tc>
        <w:tc>
          <w:tcPr>
            <w:tcW w:w="1262" w:type="dxa"/>
            <w:tcBorders>
              <w:top w:val="single" w:color="000000" w:sz="6" w:space="0"/>
              <w:left w:val="single" w:color="000000" w:sz="6" w:space="0"/>
              <w:right w:val="single" w:color="000000" w:sz="6" w:space="0"/>
            </w:tcBorders>
          </w:tcPr>
          <w:p>
            <w:pPr>
              <w:pStyle w:val="23"/>
              <w:spacing w:before="60"/>
              <w:ind w:left="131" w:firstLine="0" w:firstLineChars="0"/>
              <w:jc w:val="center"/>
              <w:rPr>
                <w:sz w:val="24"/>
                <w:highlight w:val="none"/>
              </w:rPr>
            </w:pPr>
          </w:p>
        </w:tc>
        <w:tc>
          <w:tcPr>
            <w:tcW w:w="2389" w:type="dxa"/>
            <w:tcBorders>
              <w:top w:val="single" w:color="000000" w:sz="6" w:space="0"/>
              <w:left w:val="single" w:color="000000" w:sz="6" w:space="0"/>
              <w:right w:val="single" w:color="000000" w:sz="6" w:space="0"/>
            </w:tcBorders>
          </w:tcPr>
          <w:p>
            <w:pPr>
              <w:pStyle w:val="23"/>
              <w:spacing w:before="60"/>
              <w:ind w:left="145" w:firstLine="0" w:firstLineChars="0"/>
              <w:jc w:val="center"/>
              <w:rPr>
                <w:sz w:val="24"/>
                <w:highlight w:val="none"/>
              </w:rPr>
            </w:pPr>
          </w:p>
        </w:tc>
        <w:tc>
          <w:tcPr>
            <w:tcW w:w="2202" w:type="dxa"/>
            <w:tcBorders>
              <w:top w:val="single" w:color="000000" w:sz="6" w:space="0"/>
              <w:left w:val="single" w:color="000000" w:sz="6" w:space="0"/>
            </w:tcBorders>
          </w:tcPr>
          <w:p>
            <w:pPr>
              <w:pStyle w:val="23"/>
              <w:spacing w:before="60"/>
              <w:ind w:left="127" w:firstLine="0" w:firstLineChars="0"/>
              <w:jc w:val="center"/>
              <w:rPr>
                <w:sz w:val="24"/>
                <w:highlight w:val="none"/>
              </w:rPr>
            </w:pPr>
          </w:p>
        </w:tc>
      </w:tr>
    </w:tbl>
    <w:p>
      <w:pPr>
        <w:spacing w:after="0"/>
        <w:ind w:firstLine="0" w:firstLineChars="0"/>
        <w:jc w:val="center"/>
        <w:rPr>
          <w:sz w:val="24"/>
          <w:highlight w:val="none"/>
        </w:rPr>
        <w:sectPr>
          <w:pgSz w:w="11910" w:h="16850"/>
          <w:pgMar w:top="1440" w:right="1080" w:bottom="1440" w:left="1080" w:header="0" w:footer="735"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7</w:t>
      </w:r>
      <w:r>
        <w:rPr>
          <w:rFonts w:hint="eastAsia" w:ascii="宋体" w:hAnsi="宋体" w:eastAsia="宋体" w:cs="宋体"/>
          <w:b/>
          <w:bCs/>
          <w:kern w:val="2"/>
          <w:sz w:val="21"/>
          <w:szCs w:val="24"/>
          <w:highlight w:val="none"/>
          <w:lang w:val="zh-CN" w:eastAsia="zh-CN" w:bidi="ar-SA"/>
        </w:rPr>
        <w:t xml:space="preserve"> 开标一览表 </w:t>
      </w: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p>
    <w:p>
      <w:pPr>
        <w:autoSpaceDE/>
        <w:autoSpaceDN/>
        <w:spacing w:before="0" w:after="0" w:line="480" w:lineRule="auto"/>
        <w:ind w:right="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 xml:space="preserve">开标一览表 </w:t>
      </w:r>
    </w:p>
    <w:p>
      <w:pPr>
        <w:autoSpaceDE/>
        <w:autoSpaceDN/>
        <w:spacing w:before="0" w:after="0" w:line="480" w:lineRule="auto"/>
        <w:ind w:right="0"/>
        <w:jc w:val="center"/>
        <w:rPr>
          <w:rFonts w:hint="eastAsia" w:ascii="宋体" w:hAnsi="宋体" w:eastAsia="宋体" w:cs="宋体"/>
          <w:b/>
          <w:bCs/>
          <w:kern w:val="2"/>
          <w:sz w:val="36"/>
          <w:szCs w:val="44"/>
          <w:highlight w:val="none"/>
          <w:lang w:val="zh-CN" w:eastAsia="zh-CN" w:bidi="ar-SA"/>
        </w:rPr>
        <w:sectPr>
          <w:pgSz w:w="11910" w:h="16850"/>
          <w:pgMar w:top="1440" w:right="1080" w:bottom="1440" w:left="1080" w:header="0" w:footer="735" w:gutter="0"/>
          <w:cols w:space="425" w:num="1"/>
        </w:sectPr>
      </w:pP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 xml:space="preserve">项目编号：ZKGSF(ZB)-2021                        </w:t>
      </w: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 xml:space="preserve">项目名称：2021—2023年度东片区保障性住房及配套设备设施日常小额维修项目建库 </w:t>
      </w:r>
    </w:p>
    <w:tbl>
      <w:tblPr>
        <w:tblStyle w:val="16"/>
        <w:tblW w:w="0" w:type="auto"/>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50"/>
        <w:gridCol w:w="1984"/>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4750" w:type="dxa"/>
            <w:tcBorders>
              <w:left w:val="single" w:color="000000" w:sz="8" w:space="0"/>
            </w:tcBorders>
          </w:tcPr>
          <w:p>
            <w:pPr>
              <w:pStyle w:val="23"/>
              <w:spacing w:before="120"/>
              <w:ind w:left="175" w:right="26" w:firstLine="0" w:firstLineChars="0"/>
              <w:jc w:val="center"/>
              <w:rPr>
                <w:sz w:val="24"/>
                <w:highlight w:val="none"/>
              </w:rPr>
            </w:pPr>
            <w:r>
              <w:rPr>
                <w:sz w:val="24"/>
                <w:highlight w:val="none"/>
              </w:rPr>
              <w:t xml:space="preserve">招标内容 </w:t>
            </w:r>
          </w:p>
        </w:tc>
        <w:tc>
          <w:tcPr>
            <w:tcW w:w="1984" w:type="dxa"/>
          </w:tcPr>
          <w:p>
            <w:pPr>
              <w:pStyle w:val="23"/>
              <w:spacing w:before="120"/>
              <w:ind w:left="175" w:right="26" w:firstLine="0" w:firstLineChars="0"/>
              <w:jc w:val="center"/>
              <w:rPr>
                <w:sz w:val="24"/>
                <w:highlight w:val="none"/>
              </w:rPr>
            </w:pPr>
            <w:r>
              <w:rPr>
                <w:sz w:val="24"/>
                <w:highlight w:val="none"/>
              </w:rPr>
              <w:t>合同期限</w:t>
            </w:r>
          </w:p>
        </w:tc>
        <w:tc>
          <w:tcPr>
            <w:tcW w:w="2283" w:type="dxa"/>
          </w:tcPr>
          <w:p>
            <w:pPr>
              <w:pStyle w:val="23"/>
              <w:spacing w:before="120"/>
              <w:ind w:left="175" w:right="26" w:firstLine="0" w:firstLineChars="0"/>
              <w:jc w:val="center"/>
              <w:rPr>
                <w:sz w:val="24"/>
                <w:highlight w:val="none"/>
              </w:rPr>
            </w:pPr>
            <w:r>
              <w:rPr>
                <w:sz w:val="24"/>
                <w:highlight w:val="none"/>
              </w:rPr>
              <w:t xml:space="preserve">投标报价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4750" w:type="dxa"/>
            <w:tcBorders>
              <w:left w:val="single" w:color="000000" w:sz="8" w:space="0"/>
            </w:tcBorders>
          </w:tcPr>
          <w:p>
            <w:pPr>
              <w:pStyle w:val="23"/>
              <w:spacing w:before="120"/>
              <w:ind w:left="175" w:right="26" w:firstLine="0" w:firstLineChars="0"/>
              <w:jc w:val="center"/>
              <w:rPr>
                <w:rFonts w:hint="eastAsia"/>
                <w:sz w:val="24"/>
                <w:highlight w:val="none"/>
                <w:lang w:eastAsia="zh-CN"/>
              </w:rPr>
            </w:pPr>
            <w:r>
              <w:rPr>
                <w:rFonts w:hint="eastAsia"/>
                <w:sz w:val="24"/>
                <w:highlight w:val="none"/>
                <w:lang w:eastAsia="zh-CN"/>
              </w:rPr>
              <w:t>2021—2023年度东片区保障性住房及配套设备设施日常小额维修</w:t>
            </w:r>
          </w:p>
        </w:tc>
        <w:tc>
          <w:tcPr>
            <w:tcW w:w="1984" w:type="dxa"/>
            <w:vAlign w:val="center"/>
          </w:tcPr>
          <w:p>
            <w:pPr>
              <w:pStyle w:val="23"/>
              <w:spacing w:before="120"/>
              <w:ind w:left="175" w:right="26" w:firstLine="0" w:firstLineChars="0"/>
              <w:jc w:val="center"/>
              <w:rPr>
                <w:sz w:val="24"/>
                <w:highlight w:val="none"/>
              </w:rPr>
            </w:pPr>
            <w:r>
              <w:rPr>
                <w:sz w:val="24"/>
                <w:highlight w:val="none"/>
              </w:rPr>
              <w:t>2 年</w:t>
            </w:r>
          </w:p>
        </w:tc>
        <w:tc>
          <w:tcPr>
            <w:tcW w:w="2283" w:type="dxa"/>
          </w:tcPr>
          <w:p>
            <w:pPr>
              <w:pStyle w:val="23"/>
              <w:spacing w:before="120"/>
              <w:ind w:left="175" w:right="26" w:firstLine="0" w:firstLineChars="0"/>
              <w:jc w:val="center"/>
              <w:rPr>
                <w:sz w:val="24"/>
                <w:highlight w:val="none"/>
              </w:rPr>
            </w:pPr>
            <w:r>
              <w:rPr>
                <w:sz w:val="24"/>
                <w:highlight w:val="none"/>
              </w:rPr>
              <w:t>下浮率</w:t>
            </w:r>
          </w:p>
          <w:p>
            <w:pPr>
              <w:pStyle w:val="23"/>
              <w:spacing w:before="120"/>
              <w:ind w:left="175" w:right="26" w:firstLine="0" w:firstLineChars="0"/>
              <w:jc w:val="center"/>
              <w:rPr>
                <w:sz w:val="24"/>
                <w:highlight w:val="none"/>
              </w:rPr>
            </w:pPr>
            <w:r>
              <w:rPr>
                <w:sz w:val="24"/>
                <w:highlight w:val="none"/>
              </w:rPr>
              <w:t>为</w:t>
            </w:r>
            <w:r>
              <w:rPr>
                <w:rFonts w:hint="eastAsia"/>
                <w:sz w:val="24"/>
                <w:highlight w:val="none"/>
                <w:u w:val="single"/>
                <w:lang w:val="en-US" w:eastAsia="zh-CN"/>
              </w:rPr>
              <w:t xml:space="preserve">      </w:t>
            </w:r>
            <w:r>
              <w:rPr>
                <w:sz w:val="24"/>
                <w:highlight w:val="none"/>
              </w:rPr>
              <w:t xml:space="preserve"> % </w:t>
            </w:r>
          </w:p>
        </w:tc>
      </w:tr>
    </w:tbl>
    <w:p>
      <w:pPr>
        <w:pStyle w:val="20"/>
        <w:spacing w:line="360" w:lineRule="auto"/>
        <w:ind w:left="0" w:leftChars="0" w:firstLine="0" w:firstLineChars="0"/>
        <w:rPr>
          <w:rFonts w:hint="eastAsia"/>
          <w:sz w:val="22"/>
          <w:szCs w:val="21"/>
          <w:highlight w:val="none"/>
          <w:lang w:val="zh-CN" w:eastAsia="zh-CN"/>
        </w:rPr>
      </w:pPr>
      <w:r>
        <w:rPr>
          <w:rFonts w:hint="eastAsia"/>
          <w:sz w:val="22"/>
          <w:szCs w:val="21"/>
          <w:highlight w:val="none"/>
          <w:lang w:val="zh-CN" w:eastAsia="zh-CN"/>
        </w:rPr>
        <w:t xml:space="preserve">注：1、投标报价须以下浮率形式，且为固定唯一的非负数； </w:t>
      </w:r>
    </w:p>
    <w:p>
      <w:pPr>
        <w:pStyle w:val="20"/>
        <w:spacing w:line="360" w:lineRule="auto"/>
        <w:ind w:left="0" w:leftChars="0" w:firstLine="0" w:firstLineChars="0"/>
        <w:rPr>
          <w:rFonts w:hint="eastAsia"/>
          <w:sz w:val="22"/>
          <w:szCs w:val="21"/>
          <w:highlight w:val="none"/>
          <w:lang w:val="zh-CN" w:eastAsia="zh-CN"/>
        </w:rPr>
      </w:pPr>
      <w:r>
        <w:rPr>
          <w:rFonts w:hint="eastAsia"/>
          <w:sz w:val="22"/>
          <w:szCs w:val="21"/>
          <w:highlight w:val="none"/>
          <w:lang w:val="zh-CN" w:eastAsia="zh-CN"/>
        </w:rPr>
        <w:t xml:space="preserve">2、评标委员会有权要求投标报价低于成本价的投标人提供成本证明； </w:t>
      </w:r>
    </w:p>
    <w:p>
      <w:pPr>
        <w:pStyle w:val="20"/>
        <w:spacing w:line="360" w:lineRule="auto"/>
        <w:ind w:left="0" w:leftChars="0" w:firstLine="0" w:firstLineChars="0"/>
        <w:rPr>
          <w:rFonts w:hint="eastAsia"/>
          <w:sz w:val="22"/>
          <w:szCs w:val="21"/>
          <w:highlight w:val="none"/>
          <w:lang w:val="zh-CN" w:eastAsia="zh-CN"/>
        </w:rPr>
      </w:pPr>
      <w:r>
        <w:rPr>
          <w:rFonts w:hint="eastAsia"/>
          <w:sz w:val="22"/>
          <w:szCs w:val="21"/>
          <w:highlight w:val="none"/>
          <w:lang w:val="en-US" w:eastAsia="zh-CN"/>
        </w:rPr>
        <w:t>3</w:t>
      </w:r>
      <w:r>
        <w:rPr>
          <w:rFonts w:hint="eastAsia"/>
          <w:sz w:val="22"/>
          <w:szCs w:val="21"/>
          <w:highlight w:val="none"/>
          <w:lang w:val="zh-CN" w:eastAsia="zh-CN"/>
        </w:rPr>
        <w:t xml:space="preserve">、投标人须按要求填写所有信息，不得随意更改本表格式。 </w:t>
      </w:r>
    </w:p>
    <w:p>
      <w:pPr>
        <w:pStyle w:val="20"/>
        <w:spacing w:line="360" w:lineRule="auto"/>
        <w:ind w:left="0" w:leftChars="0" w:firstLine="0" w:firstLineChars="0"/>
        <w:rPr>
          <w:rFonts w:hint="default"/>
          <w:sz w:val="22"/>
          <w:szCs w:val="21"/>
          <w:highlight w:val="none"/>
          <w:lang w:val="en-US" w:eastAsia="zh-CN"/>
        </w:rPr>
      </w:pPr>
      <w:r>
        <w:rPr>
          <w:rFonts w:hint="eastAsia"/>
          <w:sz w:val="22"/>
          <w:szCs w:val="21"/>
          <w:highlight w:val="none"/>
          <w:lang w:val="en-US" w:eastAsia="zh-CN"/>
        </w:rPr>
        <w:t>4、如报价下浮率超出20%（不含20%），须提供有效的成本证明，如无法提供或所提供的成本证明文件被评标委员会判定为无效证明的，将被以无效投标处理。</w:t>
      </w:r>
    </w:p>
    <w:p>
      <w:pPr>
        <w:pStyle w:val="20"/>
        <w:spacing w:line="360" w:lineRule="auto"/>
        <w:ind w:left="0" w:leftChars="0" w:firstLine="0" w:firstLineChars="0"/>
        <w:rPr>
          <w:rFonts w:hint="eastAsia"/>
          <w:sz w:val="24"/>
          <w:highlight w:val="none"/>
          <w:lang w:val="zh-CN" w:eastAsia="zh-CN"/>
        </w:rPr>
      </w:pPr>
    </w:p>
    <w:p>
      <w:pPr>
        <w:pStyle w:val="20"/>
        <w:spacing w:line="360" w:lineRule="auto"/>
        <w:ind w:left="0" w:leftChars="0" w:firstLine="0" w:firstLineChars="0"/>
        <w:rPr>
          <w:rFonts w:hint="eastAsia"/>
          <w:sz w:val="24"/>
          <w:highlight w:val="none"/>
          <w:lang w:val="zh-CN" w:eastAsia="zh-CN"/>
        </w:rPr>
      </w:pP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 xml:space="preserve">投标人名称（盖公章）：                        </w:t>
      </w: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投标人授权代表（签字或盖章）：                     日 期 ： 年 月 日</w:t>
      </w:r>
    </w:p>
    <w:p>
      <w:pPr>
        <w:pStyle w:val="20"/>
        <w:spacing w:line="360" w:lineRule="auto"/>
        <w:ind w:left="0" w:leftChars="0" w:firstLine="0" w:firstLineChars="0"/>
        <w:rPr>
          <w:rFonts w:hint="eastAsia"/>
          <w:sz w:val="24"/>
          <w:highlight w:val="none"/>
          <w:lang w:val="zh-CN" w:eastAsia="zh-CN"/>
        </w:rPr>
        <w:sectPr>
          <w:type w:val="continuous"/>
          <w:pgSz w:w="11910" w:h="16850"/>
          <w:pgMar w:top="1440" w:right="1080" w:bottom="1440" w:left="1080" w:header="720" w:footer="720"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8</w:t>
      </w:r>
      <w:r>
        <w:rPr>
          <w:rFonts w:hint="eastAsia" w:ascii="宋体" w:hAnsi="宋体" w:eastAsia="宋体" w:cs="宋体"/>
          <w:b/>
          <w:bCs/>
          <w:kern w:val="2"/>
          <w:sz w:val="21"/>
          <w:szCs w:val="24"/>
          <w:highlight w:val="none"/>
          <w:lang w:val="zh-CN" w:eastAsia="zh-CN" w:bidi="ar-SA"/>
        </w:rPr>
        <w:t xml:space="preserve"> 投标人基本情况表 </w:t>
      </w:r>
    </w:p>
    <w:p>
      <w:pPr>
        <w:autoSpaceDE/>
        <w:autoSpaceDN/>
        <w:spacing w:before="0" w:after="0" w:line="480" w:lineRule="auto"/>
        <w:ind w:right="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 xml:space="preserve">投标人基本情况表 </w:t>
      </w:r>
    </w:p>
    <w:tbl>
      <w:tblPr>
        <w:tblStyle w:val="16"/>
        <w:tblW w:w="0" w:type="auto"/>
        <w:tblInd w:w="5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69"/>
        <w:gridCol w:w="1051"/>
        <w:gridCol w:w="706"/>
        <w:gridCol w:w="601"/>
        <w:gridCol w:w="932"/>
        <w:gridCol w:w="1067"/>
        <w:gridCol w:w="452"/>
        <w:gridCol w:w="1023"/>
        <w:gridCol w:w="17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1269" w:type="dxa"/>
            <w:tcBorders>
              <w:bottom w:val="single" w:color="000000" w:sz="6" w:space="0"/>
              <w:right w:val="single" w:color="000000" w:sz="6" w:space="0"/>
            </w:tcBorders>
          </w:tcPr>
          <w:p>
            <w:pPr>
              <w:pStyle w:val="23"/>
              <w:spacing w:before="75" w:line="296" w:lineRule="exact"/>
              <w:ind w:right="27" w:firstLine="0" w:firstLineChars="0"/>
              <w:jc w:val="right"/>
              <w:rPr>
                <w:sz w:val="24"/>
                <w:highlight w:val="none"/>
              </w:rPr>
            </w:pPr>
            <w:r>
              <w:rPr>
                <w:sz w:val="24"/>
                <w:highlight w:val="none"/>
              </w:rPr>
              <w:t xml:space="preserve">单位名称 </w:t>
            </w:r>
          </w:p>
        </w:tc>
        <w:tc>
          <w:tcPr>
            <w:tcW w:w="7583" w:type="dxa"/>
            <w:gridSpan w:val="8"/>
            <w:tcBorders>
              <w:left w:val="single" w:color="000000" w:sz="6" w:space="0"/>
              <w:bottom w:val="single" w:color="000000" w:sz="6" w:space="0"/>
            </w:tcBorders>
          </w:tcPr>
          <w:p>
            <w:pPr>
              <w:pStyle w:val="23"/>
              <w:spacing w:before="75" w:line="296" w:lineRule="exact"/>
              <w:ind w:left="99"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1269" w:type="dxa"/>
            <w:tcBorders>
              <w:top w:val="single" w:color="000000" w:sz="6" w:space="0"/>
              <w:bottom w:val="single" w:color="000000" w:sz="6" w:space="0"/>
              <w:right w:val="single" w:color="000000" w:sz="6" w:space="0"/>
            </w:tcBorders>
          </w:tcPr>
          <w:p>
            <w:pPr>
              <w:pStyle w:val="23"/>
              <w:spacing w:before="75"/>
              <w:ind w:right="28" w:firstLine="0" w:firstLineChars="0"/>
              <w:jc w:val="right"/>
              <w:rPr>
                <w:sz w:val="24"/>
                <w:highlight w:val="none"/>
              </w:rPr>
            </w:pPr>
            <w:r>
              <w:rPr>
                <w:sz w:val="24"/>
                <w:highlight w:val="none"/>
              </w:rPr>
              <w:t>营业执照号</w:t>
            </w:r>
          </w:p>
        </w:tc>
        <w:tc>
          <w:tcPr>
            <w:tcW w:w="7583" w:type="dxa"/>
            <w:gridSpan w:val="8"/>
            <w:tcBorders>
              <w:top w:val="single" w:color="000000" w:sz="6" w:space="0"/>
              <w:left w:val="single" w:color="000000" w:sz="6" w:space="0"/>
              <w:bottom w:val="single" w:color="000000" w:sz="6" w:space="0"/>
            </w:tcBorders>
          </w:tcPr>
          <w:p>
            <w:pPr>
              <w:pStyle w:val="23"/>
              <w:spacing w:before="75"/>
              <w:ind w:left="99"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1269" w:type="dxa"/>
            <w:tcBorders>
              <w:top w:val="single" w:color="000000" w:sz="6" w:space="0"/>
              <w:bottom w:val="single" w:color="000000" w:sz="6" w:space="0"/>
              <w:right w:val="single" w:color="000000" w:sz="6" w:space="0"/>
            </w:tcBorders>
          </w:tcPr>
          <w:p>
            <w:pPr>
              <w:pStyle w:val="23"/>
              <w:spacing w:before="75"/>
              <w:ind w:left="375" w:firstLine="0" w:firstLineChars="0"/>
              <w:rPr>
                <w:sz w:val="24"/>
                <w:highlight w:val="none"/>
              </w:rPr>
            </w:pPr>
            <w:r>
              <w:rPr>
                <w:sz w:val="24"/>
                <w:highlight w:val="none"/>
              </w:rPr>
              <w:t xml:space="preserve">地址 </w:t>
            </w:r>
          </w:p>
        </w:tc>
        <w:tc>
          <w:tcPr>
            <w:tcW w:w="7583" w:type="dxa"/>
            <w:gridSpan w:val="8"/>
            <w:tcBorders>
              <w:top w:val="single" w:color="000000" w:sz="6" w:space="0"/>
              <w:left w:val="single" w:color="000000" w:sz="6" w:space="0"/>
              <w:bottom w:val="single" w:color="000000" w:sz="6" w:space="0"/>
            </w:tcBorders>
          </w:tcPr>
          <w:p>
            <w:pPr>
              <w:pStyle w:val="23"/>
              <w:spacing w:before="75"/>
              <w:ind w:left="99"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1269" w:type="dxa"/>
            <w:tcBorders>
              <w:top w:val="single" w:color="000000" w:sz="6" w:space="0"/>
              <w:bottom w:val="single" w:color="000000" w:sz="6" w:space="0"/>
              <w:right w:val="single" w:color="000000" w:sz="6" w:space="0"/>
            </w:tcBorders>
          </w:tcPr>
          <w:p>
            <w:pPr>
              <w:pStyle w:val="23"/>
              <w:spacing w:before="75" w:line="295" w:lineRule="exact"/>
              <w:ind w:right="27" w:firstLine="0" w:firstLineChars="0"/>
              <w:jc w:val="right"/>
              <w:rPr>
                <w:sz w:val="24"/>
                <w:highlight w:val="none"/>
              </w:rPr>
            </w:pPr>
            <w:r>
              <w:rPr>
                <w:sz w:val="24"/>
                <w:highlight w:val="none"/>
              </w:rPr>
              <w:t xml:space="preserve">法人代表 </w:t>
            </w:r>
          </w:p>
        </w:tc>
        <w:tc>
          <w:tcPr>
            <w:tcW w:w="3290" w:type="dxa"/>
            <w:gridSpan w:val="4"/>
            <w:tcBorders>
              <w:top w:val="single" w:color="000000" w:sz="6" w:space="0"/>
              <w:left w:val="single" w:color="000000" w:sz="6" w:space="0"/>
              <w:bottom w:val="single" w:color="000000" w:sz="6" w:space="0"/>
              <w:right w:val="single" w:color="000000" w:sz="6" w:space="0"/>
            </w:tcBorders>
          </w:tcPr>
          <w:p>
            <w:pPr>
              <w:pStyle w:val="23"/>
              <w:spacing w:before="75" w:line="295" w:lineRule="exact"/>
              <w:ind w:left="118" w:firstLine="0" w:firstLineChars="0"/>
              <w:jc w:val="center"/>
              <w:rPr>
                <w:sz w:val="24"/>
                <w:highlight w:val="none"/>
              </w:rPr>
            </w:pPr>
          </w:p>
        </w:tc>
        <w:tc>
          <w:tcPr>
            <w:tcW w:w="1519" w:type="dxa"/>
            <w:gridSpan w:val="2"/>
            <w:tcBorders>
              <w:top w:val="single" w:color="000000" w:sz="6" w:space="0"/>
              <w:left w:val="single" w:color="000000" w:sz="6" w:space="0"/>
              <w:bottom w:val="single" w:color="000000" w:sz="6" w:space="0"/>
              <w:right w:val="single" w:color="000000" w:sz="6" w:space="0"/>
            </w:tcBorders>
          </w:tcPr>
          <w:p>
            <w:pPr>
              <w:pStyle w:val="23"/>
              <w:spacing w:before="75" w:line="295" w:lineRule="exact"/>
              <w:ind w:left="510" w:firstLine="0" w:firstLineChars="0"/>
              <w:rPr>
                <w:sz w:val="24"/>
                <w:highlight w:val="none"/>
              </w:rPr>
            </w:pPr>
            <w:r>
              <w:rPr>
                <w:sz w:val="24"/>
                <w:highlight w:val="none"/>
              </w:rPr>
              <w:t xml:space="preserve">职务 </w:t>
            </w:r>
          </w:p>
        </w:tc>
        <w:tc>
          <w:tcPr>
            <w:tcW w:w="2774" w:type="dxa"/>
            <w:gridSpan w:val="2"/>
            <w:tcBorders>
              <w:top w:val="single" w:color="000000" w:sz="6" w:space="0"/>
              <w:left w:val="single" w:color="000000" w:sz="6" w:space="0"/>
              <w:bottom w:val="single" w:color="000000" w:sz="6" w:space="0"/>
            </w:tcBorders>
          </w:tcPr>
          <w:p>
            <w:pPr>
              <w:pStyle w:val="23"/>
              <w:spacing w:before="75" w:line="295" w:lineRule="exact"/>
              <w:ind w:left="96"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1269" w:type="dxa"/>
            <w:tcBorders>
              <w:top w:val="single" w:color="000000" w:sz="6" w:space="0"/>
              <w:bottom w:val="single" w:color="000000" w:sz="6" w:space="0"/>
              <w:right w:val="single" w:color="000000" w:sz="6" w:space="0"/>
            </w:tcBorders>
          </w:tcPr>
          <w:p>
            <w:pPr>
              <w:pStyle w:val="23"/>
              <w:spacing w:before="75"/>
              <w:ind w:right="27" w:firstLine="0" w:firstLineChars="0"/>
              <w:jc w:val="right"/>
              <w:rPr>
                <w:sz w:val="24"/>
                <w:highlight w:val="none"/>
              </w:rPr>
            </w:pPr>
            <w:r>
              <w:rPr>
                <w:sz w:val="24"/>
                <w:highlight w:val="none"/>
              </w:rPr>
              <w:t xml:space="preserve">授权代表 </w:t>
            </w:r>
          </w:p>
        </w:tc>
        <w:tc>
          <w:tcPr>
            <w:tcW w:w="3290" w:type="dxa"/>
            <w:gridSpan w:val="4"/>
            <w:tcBorders>
              <w:top w:val="single" w:color="000000" w:sz="6" w:space="0"/>
              <w:left w:val="single" w:color="000000" w:sz="6" w:space="0"/>
              <w:bottom w:val="single" w:color="000000" w:sz="6" w:space="0"/>
              <w:right w:val="single" w:color="000000" w:sz="6" w:space="0"/>
            </w:tcBorders>
          </w:tcPr>
          <w:p>
            <w:pPr>
              <w:pStyle w:val="23"/>
              <w:spacing w:before="75"/>
              <w:ind w:left="118" w:firstLine="0" w:firstLineChars="0"/>
              <w:jc w:val="center"/>
              <w:rPr>
                <w:sz w:val="24"/>
                <w:highlight w:val="none"/>
              </w:rPr>
            </w:pPr>
          </w:p>
        </w:tc>
        <w:tc>
          <w:tcPr>
            <w:tcW w:w="1519" w:type="dxa"/>
            <w:gridSpan w:val="2"/>
            <w:tcBorders>
              <w:top w:val="single" w:color="000000" w:sz="6" w:space="0"/>
              <w:left w:val="single" w:color="000000" w:sz="6" w:space="0"/>
              <w:bottom w:val="single" w:color="000000" w:sz="6" w:space="0"/>
              <w:right w:val="single" w:color="000000" w:sz="6" w:space="0"/>
            </w:tcBorders>
          </w:tcPr>
          <w:p>
            <w:pPr>
              <w:pStyle w:val="23"/>
              <w:spacing w:before="75"/>
              <w:ind w:left="510" w:firstLine="0" w:firstLineChars="0"/>
              <w:rPr>
                <w:sz w:val="24"/>
                <w:highlight w:val="none"/>
              </w:rPr>
            </w:pPr>
            <w:r>
              <w:rPr>
                <w:sz w:val="24"/>
                <w:highlight w:val="none"/>
              </w:rPr>
              <w:t xml:space="preserve">职务 </w:t>
            </w:r>
          </w:p>
        </w:tc>
        <w:tc>
          <w:tcPr>
            <w:tcW w:w="2774" w:type="dxa"/>
            <w:gridSpan w:val="2"/>
            <w:tcBorders>
              <w:top w:val="single" w:color="000000" w:sz="6" w:space="0"/>
              <w:left w:val="single" w:color="000000" w:sz="6" w:space="0"/>
              <w:bottom w:val="single" w:color="000000" w:sz="6" w:space="0"/>
            </w:tcBorders>
          </w:tcPr>
          <w:p>
            <w:pPr>
              <w:pStyle w:val="23"/>
              <w:spacing w:before="75"/>
              <w:ind w:left="96"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1269" w:type="dxa"/>
            <w:tcBorders>
              <w:top w:val="single" w:color="000000" w:sz="6" w:space="0"/>
              <w:bottom w:val="single" w:color="000000" w:sz="6" w:space="0"/>
              <w:right w:val="single" w:color="000000" w:sz="6" w:space="0"/>
            </w:tcBorders>
          </w:tcPr>
          <w:p>
            <w:pPr>
              <w:pStyle w:val="23"/>
              <w:spacing w:before="75"/>
              <w:ind w:left="375" w:firstLine="0" w:firstLineChars="0"/>
              <w:rPr>
                <w:sz w:val="24"/>
                <w:highlight w:val="none"/>
              </w:rPr>
            </w:pPr>
            <w:r>
              <w:rPr>
                <w:sz w:val="24"/>
                <w:highlight w:val="none"/>
              </w:rPr>
              <w:t xml:space="preserve">邮编 </w:t>
            </w:r>
          </w:p>
        </w:tc>
        <w:tc>
          <w:tcPr>
            <w:tcW w:w="1757" w:type="dxa"/>
            <w:gridSpan w:val="2"/>
            <w:tcBorders>
              <w:top w:val="single" w:color="000000" w:sz="6" w:space="0"/>
              <w:left w:val="single" w:color="000000" w:sz="6" w:space="0"/>
              <w:bottom w:val="single" w:color="000000" w:sz="6" w:space="0"/>
              <w:right w:val="single" w:color="000000" w:sz="6" w:space="0"/>
            </w:tcBorders>
          </w:tcPr>
          <w:p>
            <w:pPr>
              <w:pStyle w:val="23"/>
              <w:spacing w:before="75"/>
              <w:ind w:left="120" w:firstLine="0" w:firstLineChars="0"/>
              <w:jc w:val="center"/>
              <w:rPr>
                <w:sz w:val="24"/>
                <w:highlight w:val="none"/>
              </w:rPr>
            </w:pPr>
          </w:p>
        </w:tc>
        <w:tc>
          <w:tcPr>
            <w:tcW w:w="1533" w:type="dxa"/>
            <w:gridSpan w:val="2"/>
            <w:tcBorders>
              <w:top w:val="single" w:color="000000" w:sz="6" w:space="0"/>
              <w:left w:val="single" w:color="000000" w:sz="6" w:space="0"/>
              <w:bottom w:val="single" w:color="000000" w:sz="6" w:space="0"/>
              <w:right w:val="single" w:color="000000" w:sz="6" w:space="0"/>
            </w:tcBorders>
          </w:tcPr>
          <w:p>
            <w:pPr>
              <w:pStyle w:val="23"/>
              <w:spacing w:before="75"/>
              <w:ind w:left="511" w:firstLine="0" w:firstLineChars="0"/>
              <w:rPr>
                <w:sz w:val="24"/>
                <w:highlight w:val="none"/>
              </w:rPr>
            </w:pPr>
            <w:r>
              <w:rPr>
                <w:sz w:val="24"/>
                <w:highlight w:val="none"/>
              </w:rPr>
              <w:t xml:space="preserve">电话 </w:t>
            </w:r>
          </w:p>
        </w:tc>
        <w:tc>
          <w:tcPr>
            <w:tcW w:w="1519" w:type="dxa"/>
            <w:gridSpan w:val="2"/>
            <w:tcBorders>
              <w:top w:val="single" w:color="000000" w:sz="6" w:space="0"/>
              <w:left w:val="single" w:color="000000" w:sz="6" w:space="0"/>
              <w:bottom w:val="single" w:color="000000" w:sz="6" w:space="0"/>
              <w:right w:val="single" w:color="000000" w:sz="6" w:space="0"/>
            </w:tcBorders>
          </w:tcPr>
          <w:p>
            <w:pPr>
              <w:pStyle w:val="23"/>
              <w:spacing w:before="75"/>
              <w:ind w:left="117" w:firstLine="0" w:firstLineChars="0"/>
              <w:jc w:val="center"/>
              <w:rPr>
                <w:sz w:val="24"/>
                <w:highlight w:val="none"/>
              </w:rPr>
            </w:pPr>
          </w:p>
        </w:tc>
        <w:tc>
          <w:tcPr>
            <w:tcW w:w="1023" w:type="dxa"/>
            <w:tcBorders>
              <w:top w:val="single" w:color="000000" w:sz="6" w:space="0"/>
              <w:left w:val="single" w:color="000000" w:sz="6" w:space="0"/>
              <w:bottom w:val="single" w:color="000000" w:sz="6" w:space="0"/>
              <w:right w:val="single" w:color="000000" w:sz="6" w:space="0"/>
            </w:tcBorders>
          </w:tcPr>
          <w:p>
            <w:pPr>
              <w:pStyle w:val="23"/>
              <w:spacing w:before="75"/>
              <w:ind w:left="252" w:firstLine="0" w:firstLineChars="0"/>
              <w:rPr>
                <w:sz w:val="24"/>
                <w:highlight w:val="none"/>
              </w:rPr>
            </w:pPr>
            <w:r>
              <w:rPr>
                <w:sz w:val="24"/>
                <w:highlight w:val="none"/>
              </w:rPr>
              <w:t xml:space="preserve">传真 </w:t>
            </w:r>
          </w:p>
        </w:tc>
        <w:tc>
          <w:tcPr>
            <w:tcW w:w="1751" w:type="dxa"/>
            <w:tcBorders>
              <w:top w:val="single" w:color="000000" w:sz="6" w:space="0"/>
              <w:left w:val="single" w:color="000000" w:sz="6" w:space="0"/>
              <w:bottom w:val="single" w:color="000000" w:sz="6" w:space="0"/>
            </w:tcBorders>
          </w:tcPr>
          <w:p>
            <w:pPr>
              <w:pStyle w:val="23"/>
              <w:spacing w:before="75"/>
              <w:ind w:left="124"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6" w:hRule="atLeast"/>
        </w:trPr>
        <w:tc>
          <w:tcPr>
            <w:tcW w:w="1269" w:type="dxa"/>
            <w:vMerge w:val="restart"/>
            <w:tcBorders>
              <w:top w:val="single" w:color="000000" w:sz="6" w:space="0"/>
              <w:bottom w:val="single" w:color="000000" w:sz="6" w:space="0"/>
              <w:right w:val="single" w:color="000000" w:sz="6" w:space="0"/>
            </w:tcBorders>
          </w:tcPr>
          <w:p>
            <w:pPr>
              <w:pStyle w:val="23"/>
              <w:ind w:left="135" w:firstLine="0" w:firstLineChars="0"/>
              <w:rPr>
                <w:sz w:val="24"/>
                <w:highlight w:val="none"/>
              </w:rPr>
            </w:pPr>
            <w:r>
              <w:rPr>
                <w:sz w:val="24"/>
                <w:highlight w:val="none"/>
              </w:rPr>
              <w:t xml:space="preserve">单位概况 </w:t>
            </w:r>
          </w:p>
        </w:tc>
        <w:tc>
          <w:tcPr>
            <w:tcW w:w="1051" w:type="dxa"/>
            <w:tcBorders>
              <w:top w:val="single" w:color="000000" w:sz="6" w:space="0"/>
              <w:left w:val="single" w:color="000000" w:sz="6" w:space="0"/>
              <w:bottom w:val="single" w:color="000000" w:sz="6" w:space="0"/>
              <w:right w:val="single" w:color="000000" w:sz="6" w:space="0"/>
            </w:tcBorders>
          </w:tcPr>
          <w:p>
            <w:pPr>
              <w:pStyle w:val="23"/>
              <w:ind w:left="30" w:right="-87" w:firstLine="0" w:firstLineChars="0"/>
              <w:jc w:val="center"/>
              <w:rPr>
                <w:sz w:val="24"/>
                <w:highlight w:val="none"/>
              </w:rPr>
            </w:pPr>
            <w:r>
              <w:rPr>
                <w:sz w:val="24"/>
                <w:highlight w:val="none"/>
              </w:rPr>
              <w:t xml:space="preserve">注册资本 </w:t>
            </w:r>
          </w:p>
        </w:tc>
        <w:tc>
          <w:tcPr>
            <w:tcW w:w="1307" w:type="dxa"/>
            <w:gridSpan w:val="2"/>
            <w:tcBorders>
              <w:top w:val="single" w:color="000000" w:sz="6" w:space="0"/>
              <w:left w:val="single" w:color="000000" w:sz="6" w:space="0"/>
              <w:bottom w:val="single" w:color="000000" w:sz="6" w:space="0"/>
              <w:right w:val="single" w:color="000000" w:sz="6" w:space="0"/>
            </w:tcBorders>
          </w:tcPr>
          <w:p>
            <w:pPr>
              <w:pStyle w:val="23"/>
              <w:ind w:left="285" w:firstLine="0" w:firstLineChars="0"/>
              <w:rPr>
                <w:sz w:val="24"/>
                <w:highlight w:val="none"/>
              </w:rPr>
            </w:pPr>
            <w:r>
              <w:rPr>
                <w:sz w:val="24"/>
                <w:highlight w:val="none"/>
              </w:rPr>
              <w:t xml:space="preserve">万元 </w:t>
            </w:r>
          </w:p>
        </w:tc>
        <w:tc>
          <w:tcPr>
            <w:tcW w:w="1999" w:type="dxa"/>
            <w:gridSpan w:val="2"/>
            <w:tcBorders>
              <w:top w:val="single" w:color="000000" w:sz="6" w:space="0"/>
              <w:left w:val="single" w:color="000000" w:sz="6" w:space="0"/>
              <w:bottom w:val="single" w:color="000000" w:sz="6" w:space="0"/>
              <w:right w:val="single" w:color="000000" w:sz="6" w:space="0"/>
            </w:tcBorders>
          </w:tcPr>
          <w:p>
            <w:pPr>
              <w:pStyle w:val="23"/>
              <w:ind w:left="511" w:firstLine="0" w:firstLineChars="0"/>
              <w:rPr>
                <w:sz w:val="24"/>
                <w:highlight w:val="none"/>
              </w:rPr>
            </w:pPr>
            <w:r>
              <w:rPr>
                <w:sz w:val="24"/>
                <w:highlight w:val="none"/>
              </w:rPr>
              <w:t xml:space="preserve">占地面积 </w:t>
            </w:r>
          </w:p>
        </w:tc>
        <w:tc>
          <w:tcPr>
            <w:tcW w:w="3226" w:type="dxa"/>
            <w:gridSpan w:val="3"/>
            <w:tcBorders>
              <w:top w:val="single" w:color="000000" w:sz="6" w:space="0"/>
              <w:left w:val="single" w:color="000000" w:sz="6" w:space="0"/>
              <w:bottom w:val="single" w:color="000000" w:sz="6" w:space="0"/>
            </w:tcBorders>
          </w:tcPr>
          <w:p>
            <w:pPr>
              <w:pStyle w:val="23"/>
              <w:ind w:left="1600" w:right="1503" w:firstLine="0" w:firstLineChars="0"/>
              <w:jc w:val="center"/>
              <w:rPr>
                <w:sz w:val="40"/>
                <w:szCs w:val="36"/>
                <w:highlight w:val="none"/>
              </w:rPr>
            </w:pPr>
            <w:r>
              <w:rPr>
                <w:rFonts w:hint="eastAsia" w:ascii="宋体" w:hAnsi="宋体" w:eastAsia="宋体" w:cs="宋体"/>
                <w:sz w:val="18"/>
                <w:szCs w:val="36"/>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5" w:hRule="atLeast"/>
        </w:trPr>
        <w:tc>
          <w:tcPr>
            <w:tcW w:w="1269" w:type="dxa"/>
            <w:vMerge w:val="continue"/>
            <w:tcBorders>
              <w:top w:val="nil"/>
              <w:bottom w:val="single" w:color="000000" w:sz="6" w:space="0"/>
              <w:right w:val="single" w:color="000000" w:sz="6" w:space="0"/>
            </w:tcBorders>
          </w:tcPr>
          <w:p>
            <w:pPr>
              <w:ind w:firstLine="0" w:firstLineChars="0"/>
              <w:rPr>
                <w:sz w:val="2"/>
                <w:szCs w:val="2"/>
                <w:highlight w:val="none"/>
              </w:rPr>
            </w:pPr>
          </w:p>
        </w:tc>
        <w:tc>
          <w:tcPr>
            <w:tcW w:w="1051" w:type="dxa"/>
            <w:tcBorders>
              <w:top w:val="single" w:color="000000" w:sz="6" w:space="0"/>
              <w:left w:val="single" w:color="000000" w:sz="6" w:space="0"/>
              <w:bottom w:val="single" w:color="000000" w:sz="6" w:space="0"/>
              <w:right w:val="single" w:color="000000" w:sz="6" w:space="0"/>
            </w:tcBorders>
          </w:tcPr>
          <w:p>
            <w:pPr>
              <w:pStyle w:val="23"/>
              <w:ind w:left="30" w:right="-87" w:firstLine="0" w:firstLineChars="0"/>
              <w:jc w:val="center"/>
              <w:rPr>
                <w:sz w:val="24"/>
                <w:highlight w:val="none"/>
              </w:rPr>
            </w:pPr>
            <w:r>
              <w:rPr>
                <w:sz w:val="24"/>
                <w:highlight w:val="none"/>
              </w:rPr>
              <w:t xml:space="preserve">职工总数 </w:t>
            </w:r>
          </w:p>
        </w:tc>
        <w:tc>
          <w:tcPr>
            <w:tcW w:w="1307" w:type="dxa"/>
            <w:gridSpan w:val="2"/>
            <w:tcBorders>
              <w:top w:val="single" w:color="000000" w:sz="6" w:space="0"/>
              <w:left w:val="single" w:color="000000" w:sz="6" w:space="0"/>
              <w:bottom w:val="single" w:color="000000" w:sz="6" w:space="0"/>
              <w:right w:val="single" w:color="000000" w:sz="6" w:space="0"/>
            </w:tcBorders>
          </w:tcPr>
          <w:p>
            <w:pPr>
              <w:pStyle w:val="23"/>
              <w:ind w:left="346" w:firstLine="0" w:firstLineChars="0"/>
              <w:rPr>
                <w:sz w:val="24"/>
                <w:highlight w:val="none"/>
              </w:rPr>
            </w:pPr>
            <w:r>
              <w:rPr>
                <w:sz w:val="24"/>
                <w:highlight w:val="none"/>
              </w:rPr>
              <w:t xml:space="preserve">人 </w:t>
            </w:r>
          </w:p>
        </w:tc>
        <w:tc>
          <w:tcPr>
            <w:tcW w:w="1999" w:type="dxa"/>
            <w:gridSpan w:val="2"/>
            <w:tcBorders>
              <w:top w:val="single" w:color="000000" w:sz="6" w:space="0"/>
              <w:left w:val="single" w:color="000000" w:sz="6" w:space="0"/>
              <w:bottom w:val="single" w:color="000000" w:sz="6" w:space="0"/>
              <w:right w:val="single" w:color="000000" w:sz="6" w:space="0"/>
            </w:tcBorders>
          </w:tcPr>
          <w:p>
            <w:pPr>
              <w:pStyle w:val="23"/>
              <w:ind w:left="511" w:firstLine="0" w:firstLineChars="0"/>
              <w:rPr>
                <w:sz w:val="24"/>
                <w:highlight w:val="none"/>
              </w:rPr>
            </w:pPr>
            <w:r>
              <w:rPr>
                <w:sz w:val="24"/>
                <w:highlight w:val="none"/>
              </w:rPr>
              <w:t xml:space="preserve">建筑面积 </w:t>
            </w:r>
          </w:p>
        </w:tc>
        <w:tc>
          <w:tcPr>
            <w:tcW w:w="3226" w:type="dxa"/>
            <w:gridSpan w:val="3"/>
            <w:tcBorders>
              <w:top w:val="single" w:color="000000" w:sz="6" w:space="0"/>
              <w:left w:val="single" w:color="000000" w:sz="6" w:space="0"/>
              <w:bottom w:val="single" w:color="000000" w:sz="6" w:space="0"/>
            </w:tcBorders>
          </w:tcPr>
          <w:p>
            <w:pPr>
              <w:pStyle w:val="23"/>
              <w:ind w:left="1600" w:right="1503" w:firstLine="0" w:firstLineChars="0"/>
              <w:jc w:val="center"/>
              <w:rPr>
                <w:sz w:val="40"/>
                <w:szCs w:val="36"/>
                <w:highlight w:val="none"/>
              </w:rPr>
            </w:pPr>
            <w:r>
              <w:rPr>
                <w:rFonts w:hint="eastAsia" w:ascii="宋体" w:hAnsi="宋体" w:eastAsia="宋体" w:cs="宋体"/>
                <w:sz w:val="18"/>
                <w:szCs w:val="36"/>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1269" w:type="dxa"/>
            <w:vMerge w:val="continue"/>
            <w:tcBorders>
              <w:top w:val="nil"/>
              <w:bottom w:val="single" w:color="000000" w:sz="6" w:space="0"/>
              <w:right w:val="single" w:color="000000" w:sz="6" w:space="0"/>
            </w:tcBorders>
          </w:tcPr>
          <w:p>
            <w:pPr>
              <w:ind w:firstLine="0" w:firstLineChars="0"/>
              <w:rPr>
                <w:sz w:val="2"/>
                <w:szCs w:val="2"/>
                <w:highlight w:val="none"/>
              </w:rPr>
            </w:pPr>
          </w:p>
        </w:tc>
        <w:tc>
          <w:tcPr>
            <w:tcW w:w="1051" w:type="dxa"/>
            <w:vMerge w:val="restart"/>
            <w:tcBorders>
              <w:top w:val="single" w:color="000000" w:sz="6" w:space="0"/>
              <w:left w:val="single" w:color="000000" w:sz="6" w:space="0"/>
              <w:bottom w:val="single" w:color="000000" w:sz="6" w:space="0"/>
              <w:right w:val="single" w:color="000000" w:sz="6" w:space="0"/>
            </w:tcBorders>
          </w:tcPr>
          <w:p>
            <w:pPr>
              <w:pStyle w:val="23"/>
              <w:ind w:left="30" w:right="-87" w:firstLine="0" w:firstLineChars="0"/>
              <w:rPr>
                <w:sz w:val="24"/>
                <w:highlight w:val="none"/>
              </w:rPr>
            </w:pPr>
            <w:r>
              <w:rPr>
                <w:sz w:val="24"/>
                <w:highlight w:val="none"/>
              </w:rPr>
              <w:t xml:space="preserve">资产情况 </w:t>
            </w:r>
          </w:p>
        </w:tc>
        <w:tc>
          <w:tcPr>
            <w:tcW w:w="1307" w:type="dxa"/>
            <w:gridSpan w:val="2"/>
            <w:tcBorders>
              <w:top w:val="single" w:color="000000" w:sz="6" w:space="0"/>
              <w:left w:val="single" w:color="000000" w:sz="6" w:space="0"/>
              <w:bottom w:val="single" w:color="000000" w:sz="6" w:space="0"/>
              <w:right w:val="single" w:color="000000" w:sz="6" w:space="0"/>
            </w:tcBorders>
          </w:tcPr>
          <w:p>
            <w:pPr>
              <w:pStyle w:val="23"/>
              <w:spacing w:before="150"/>
              <w:ind w:left="285" w:firstLine="0" w:firstLineChars="0"/>
              <w:rPr>
                <w:sz w:val="24"/>
                <w:highlight w:val="none"/>
              </w:rPr>
            </w:pPr>
            <w:r>
              <w:rPr>
                <w:sz w:val="24"/>
                <w:highlight w:val="none"/>
              </w:rPr>
              <w:t xml:space="preserve">净资产 </w:t>
            </w:r>
          </w:p>
        </w:tc>
        <w:tc>
          <w:tcPr>
            <w:tcW w:w="1999" w:type="dxa"/>
            <w:gridSpan w:val="2"/>
            <w:tcBorders>
              <w:top w:val="single" w:color="000000" w:sz="6" w:space="0"/>
              <w:left w:val="single" w:color="000000" w:sz="6" w:space="0"/>
              <w:bottom w:val="single" w:color="000000" w:sz="6" w:space="0"/>
              <w:right w:val="single" w:color="000000" w:sz="6" w:space="0"/>
            </w:tcBorders>
          </w:tcPr>
          <w:p>
            <w:pPr>
              <w:pStyle w:val="23"/>
              <w:spacing w:before="150"/>
              <w:ind w:left="330" w:firstLine="0" w:firstLineChars="0"/>
              <w:rPr>
                <w:sz w:val="24"/>
                <w:highlight w:val="none"/>
              </w:rPr>
            </w:pPr>
            <w:r>
              <w:rPr>
                <w:sz w:val="24"/>
                <w:highlight w:val="none"/>
              </w:rPr>
              <w:t xml:space="preserve">万元 </w:t>
            </w:r>
          </w:p>
        </w:tc>
        <w:tc>
          <w:tcPr>
            <w:tcW w:w="3226" w:type="dxa"/>
            <w:gridSpan w:val="3"/>
            <w:tcBorders>
              <w:top w:val="single" w:color="000000" w:sz="6" w:space="0"/>
              <w:left w:val="single" w:color="000000" w:sz="6" w:space="0"/>
              <w:bottom w:val="single" w:color="000000" w:sz="6" w:space="0"/>
            </w:tcBorders>
          </w:tcPr>
          <w:p>
            <w:pPr>
              <w:pStyle w:val="23"/>
              <w:ind w:left="290" w:leftChars="0" w:firstLine="0" w:firstLineChars="0"/>
              <w:rPr>
                <w:rFonts w:ascii="宋体" w:hAnsi="宋体" w:eastAsia="宋体" w:cs="宋体"/>
                <w:sz w:val="24"/>
                <w:highlight w:val="none"/>
              </w:rPr>
            </w:pPr>
            <w:r>
              <w:rPr>
                <w:rFonts w:ascii="宋体" w:hAnsi="宋体" w:eastAsia="宋体" w:cs="宋体"/>
                <w:sz w:val="24"/>
                <w:highlight w:val="none"/>
              </w:rPr>
              <w:t xml:space="preserve">固定资产原值 </w:t>
            </w:r>
            <w:r>
              <w:rPr>
                <w:rFonts w:hint="eastAsia" w:ascii="宋体" w:hAnsi="宋体" w:eastAsia="宋体" w:cs="宋体"/>
                <w:sz w:val="24"/>
                <w:highlight w:val="none"/>
                <w:lang w:val="en-US" w:eastAsia="zh-CN"/>
              </w:rPr>
              <w:t xml:space="preserve">       </w:t>
            </w:r>
            <w:r>
              <w:rPr>
                <w:rFonts w:ascii="宋体" w:hAnsi="宋体" w:eastAsia="宋体" w:cs="宋体"/>
                <w:sz w:val="24"/>
                <w:highlight w:val="none"/>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trPr>
        <w:tc>
          <w:tcPr>
            <w:tcW w:w="1269" w:type="dxa"/>
            <w:vMerge w:val="continue"/>
            <w:tcBorders>
              <w:top w:val="nil"/>
              <w:bottom w:val="single" w:color="000000" w:sz="6" w:space="0"/>
              <w:right w:val="single" w:color="000000" w:sz="6" w:space="0"/>
            </w:tcBorders>
          </w:tcPr>
          <w:p>
            <w:pPr>
              <w:ind w:firstLine="0" w:firstLineChars="0"/>
              <w:rPr>
                <w:sz w:val="2"/>
                <w:szCs w:val="2"/>
                <w:highlight w:val="none"/>
              </w:rPr>
            </w:pPr>
          </w:p>
        </w:tc>
        <w:tc>
          <w:tcPr>
            <w:tcW w:w="1051" w:type="dxa"/>
            <w:vMerge w:val="continue"/>
            <w:tcBorders>
              <w:top w:val="nil"/>
              <w:left w:val="single" w:color="000000" w:sz="6" w:space="0"/>
              <w:bottom w:val="single" w:color="000000" w:sz="6" w:space="0"/>
              <w:right w:val="single" w:color="000000" w:sz="6" w:space="0"/>
            </w:tcBorders>
          </w:tcPr>
          <w:p>
            <w:pPr>
              <w:ind w:firstLine="0" w:firstLineChars="0"/>
              <w:rPr>
                <w:sz w:val="2"/>
                <w:szCs w:val="2"/>
                <w:highlight w:val="none"/>
              </w:rPr>
            </w:pPr>
          </w:p>
        </w:tc>
        <w:tc>
          <w:tcPr>
            <w:tcW w:w="1307" w:type="dxa"/>
            <w:gridSpan w:val="2"/>
            <w:tcBorders>
              <w:top w:val="single" w:color="000000" w:sz="6" w:space="0"/>
              <w:left w:val="single" w:color="000000" w:sz="6" w:space="0"/>
              <w:bottom w:val="single" w:color="000000" w:sz="6" w:space="0"/>
              <w:right w:val="single" w:color="000000" w:sz="6" w:space="0"/>
            </w:tcBorders>
          </w:tcPr>
          <w:p>
            <w:pPr>
              <w:pStyle w:val="23"/>
              <w:spacing w:before="135"/>
              <w:ind w:left="405" w:firstLine="0" w:firstLineChars="0"/>
              <w:rPr>
                <w:sz w:val="24"/>
                <w:highlight w:val="none"/>
              </w:rPr>
            </w:pPr>
            <w:r>
              <w:rPr>
                <w:sz w:val="24"/>
                <w:highlight w:val="none"/>
              </w:rPr>
              <w:t xml:space="preserve">负债 </w:t>
            </w:r>
          </w:p>
        </w:tc>
        <w:tc>
          <w:tcPr>
            <w:tcW w:w="1999" w:type="dxa"/>
            <w:gridSpan w:val="2"/>
            <w:tcBorders>
              <w:top w:val="single" w:color="000000" w:sz="6" w:space="0"/>
              <w:left w:val="single" w:color="000000" w:sz="6" w:space="0"/>
              <w:bottom w:val="single" w:color="000000" w:sz="6" w:space="0"/>
              <w:right w:val="single" w:color="000000" w:sz="6" w:space="0"/>
            </w:tcBorders>
          </w:tcPr>
          <w:p>
            <w:pPr>
              <w:pStyle w:val="23"/>
              <w:spacing w:before="135"/>
              <w:ind w:left="390" w:firstLine="0" w:firstLineChars="0"/>
              <w:rPr>
                <w:sz w:val="24"/>
                <w:highlight w:val="none"/>
              </w:rPr>
            </w:pPr>
            <w:r>
              <w:rPr>
                <w:sz w:val="24"/>
                <w:highlight w:val="none"/>
              </w:rPr>
              <w:t xml:space="preserve">万元 </w:t>
            </w:r>
          </w:p>
        </w:tc>
        <w:tc>
          <w:tcPr>
            <w:tcW w:w="3226" w:type="dxa"/>
            <w:gridSpan w:val="3"/>
            <w:tcBorders>
              <w:top w:val="single" w:color="000000" w:sz="6" w:space="0"/>
              <w:left w:val="single" w:color="000000" w:sz="6" w:space="0"/>
              <w:bottom w:val="single" w:color="000000" w:sz="6" w:space="0"/>
            </w:tcBorders>
          </w:tcPr>
          <w:p>
            <w:pPr>
              <w:pStyle w:val="23"/>
              <w:ind w:left="290" w:leftChars="0" w:firstLine="0" w:firstLineChars="0"/>
              <w:rPr>
                <w:rFonts w:ascii="宋体" w:hAnsi="宋体" w:eastAsia="宋体" w:cs="宋体"/>
                <w:sz w:val="24"/>
                <w:highlight w:val="none"/>
              </w:rPr>
            </w:pPr>
            <w:r>
              <w:rPr>
                <w:rFonts w:ascii="宋体" w:hAnsi="宋体" w:eastAsia="宋体" w:cs="宋体"/>
                <w:sz w:val="24"/>
                <w:highlight w:val="none"/>
              </w:rPr>
              <w:t xml:space="preserve">固定资产净值 </w:t>
            </w:r>
            <w:r>
              <w:rPr>
                <w:rFonts w:hint="eastAsia" w:ascii="宋体" w:hAnsi="宋体" w:eastAsia="宋体" w:cs="宋体"/>
                <w:sz w:val="24"/>
                <w:highlight w:val="none"/>
                <w:lang w:val="en-US" w:eastAsia="zh-CN"/>
              </w:rPr>
              <w:t xml:space="preserve">       </w:t>
            </w:r>
            <w:r>
              <w:rPr>
                <w:rFonts w:ascii="宋体" w:hAnsi="宋体" w:eastAsia="宋体" w:cs="宋体"/>
                <w:sz w:val="24"/>
                <w:highlight w:val="none"/>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trPr>
        <w:tc>
          <w:tcPr>
            <w:tcW w:w="3627" w:type="dxa"/>
            <w:gridSpan w:val="4"/>
            <w:tcBorders>
              <w:top w:val="single" w:color="000000" w:sz="6" w:space="0"/>
              <w:bottom w:val="single" w:color="000000" w:sz="6" w:space="0"/>
              <w:right w:val="single" w:color="000000" w:sz="6" w:space="0"/>
            </w:tcBorders>
          </w:tcPr>
          <w:p>
            <w:pPr>
              <w:pStyle w:val="23"/>
              <w:spacing w:before="150"/>
              <w:ind w:left="480" w:firstLine="0" w:firstLineChars="0"/>
              <w:rPr>
                <w:sz w:val="24"/>
                <w:highlight w:val="none"/>
              </w:rPr>
            </w:pPr>
            <w:r>
              <w:rPr>
                <w:sz w:val="24"/>
                <w:highlight w:val="none"/>
              </w:rPr>
              <w:t xml:space="preserve">公司开户银行名称及账号 </w:t>
            </w:r>
          </w:p>
        </w:tc>
        <w:tc>
          <w:tcPr>
            <w:tcW w:w="5225" w:type="dxa"/>
            <w:gridSpan w:val="5"/>
            <w:tcBorders>
              <w:top w:val="single" w:color="000000" w:sz="6" w:space="0"/>
              <w:left w:val="single" w:color="000000" w:sz="6" w:space="0"/>
              <w:bottom w:val="single" w:color="000000" w:sz="6" w:space="0"/>
            </w:tcBorders>
          </w:tcPr>
          <w:p>
            <w:pPr>
              <w:pStyle w:val="23"/>
              <w:spacing w:before="150"/>
              <w:ind w:left="114"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1269" w:type="dxa"/>
            <w:vMerge w:val="restart"/>
            <w:tcBorders>
              <w:top w:val="single" w:color="000000" w:sz="6" w:space="0"/>
              <w:bottom w:val="single" w:color="000000" w:sz="6" w:space="0"/>
              <w:right w:val="single" w:color="000000" w:sz="6" w:space="0"/>
            </w:tcBorders>
          </w:tcPr>
          <w:p>
            <w:pPr>
              <w:pStyle w:val="23"/>
              <w:ind w:left="150" w:firstLine="0" w:firstLineChars="0"/>
              <w:rPr>
                <w:sz w:val="24"/>
                <w:highlight w:val="none"/>
              </w:rPr>
            </w:pPr>
            <w:r>
              <w:rPr>
                <w:sz w:val="24"/>
                <w:highlight w:val="none"/>
              </w:rPr>
              <w:t xml:space="preserve">证书情况 </w:t>
            </w:r>
          </w:p>
        </w:tc>
        <w:tc>
          <w:tcPr>
            <w:tcW w:w="1051" w:type="dxa"/>
            <w:tcBorders>
              <w:top w:val="single" w:color="000000" w:sz="6" w:space="0"/>
              <w:left w:val="single" w:color="000000" w:sz="6" w:space="0"/>
              <w:bottom w:val="single" w:color="000000" w:sz="6" w:space="0"/>
              <w:right w:val="single" w:color="000000" w:sz="6" w:space="0"/>
            </w:tcBorders>
          </w:tcPr>
          <w:p>
            <w:pPr>
              <w:pStyle w:val="23"/>
              <w:spacing w:before="120"/>
              <w:ind w:left="30" w:right="-87" w:firstLine="0" w:firstLineChars="0"/>
              <w:jc w:val="center"/>
              <w:rPr>
                <w:sz w:val="24"/>
                <w:highlight w:val="none"/>
              </w:rPr>
            </w:pPr>
            <w:r>
              <w:rPr>
                <w:sz w:val="24"/>
                <w:highlight w:val="none"/>
              </w:rPr>
              <w:t xml:space="preserve">证书名称 </w:t>
            </w:r>
          </w:p>
        </w:tc>
        <w:tc>
          <w:tcPr>
            <w:tcW w:w="1307" w:type="dxa"/>
            <w:gridSpan w:val="2"/>
            <w:tcBorders>
              <w:top w:val="single" w:color="000000" w:sz="6" w:space="0"/>
              <w:left w:val="single" w:color="000000" w:sz="6" w:space="0"/>
              <w:bottom w:val="single" w:color="000000" w:sz="6" w:space="0"/>
              <w:right w:val="single" w:color="000000" w:sz="6" w:space="0"/>
            </w:tcBorders>
          </w:tcPr>
          <w:p>
            <w:pPr>
              <w:pStyle w:val="23"/>
              <w:spacing w:before="120"/>
              <w:ind w:left="165" w:firstLine="0" w:firstLineChars="0"/>
              <w:rPr>
                <w:sz w:val="24"/>
                <w:highlight w:val="none"/>
              </w:rPr>
            </w:pPr>
            <w:r>
              <w:rPr>
                <w:sz w:val="24"/>
                <w:highlight w:val="none"/>
              </w:rPr>
              <w:t xml:space="preserve">证书等级 </w:t>
            </w:r>
          </w:p>
        </w:tc>
        <w:tc>
          <w:tcPr>
            <w:tcW w:w="1999" w:type="dxa"/>
            <w:gridSpan w:val="2"/>
            <w:tcBorders>
              <w:top w:val="single" w:color="000000" w:sz="6" w:space="0"/>
              <w:left w:val="single" w:color="000000" w:sz="6" w:space="0"/>
              <w:bottom w:val="single" w:color="000000" w:sz="6" w:space="0"/>
              <w:right w:val="single" w:color="000000" w:sz="6" w:space="0"/>
            </w:tcBorders>
          </w:tcPr>
          <w:p>
            <w:pPr>
              <w:pStyle w:val="23"/>
              <w:spacing w:before="120"/>
              <w:ind w:left="511" w:firstLine="0" w:firstLineChars="0"/>
              <w:rPr>
                <w:sz w:val="24"/>
                <w:highlight w:val="none"/>
              </w:rPr>
            </w:pPr>
            <w:r>
              <w:rPr>
                <w:sz w:val="24"/>
                <w:highlight w:val="none"/>
              </w:rPr>
              <w:t xml:space="preserve">发证单位 </w:t>
            </w:r>
          </w:p>
        </w:tc>
        <w:tc>
          <w:tcPr>
            <w:tcW w:w="3226" w:type="dxa"/>
            <w:gridSpan w:val="3"/>
            <w:tcBorders>
              <w:top w:val="single" w:color="000000" w:sz="6" w:space="0"/>
              <w:left w:val="single" w:color="000000" w:sz="6" w:space="0"/>
              <w:bottom w:val="single" w:color="000000" w:sz="6" w:space="0"/>
            </w:tcBorders>
          </w:tcPr>
          <w:p>
            <w:pPr>
              <w:pStyle w:val="23"/>
              <w:spacing w:before="120"/>
              <w:ind w:left="990" w:firstLine="0" w:firstLineChars="0"/>
              <w:rPr>
                <w:sz w:val="24"/>
                <w:highlight w:val="none"/>
              </w:rPr>
            </w:pPr>
            <w:r>
              <w:rPr>
                <w:sz w:val="24"/>
                <w:highlight w:val="none"/>
              </w:rPr>
              <w:t xml:space="preserve">证书有效期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1269" w:type="dxa"/>
            <w:vMerge w:val="continue"/>
            <w:tcBorders>
              <w:top w:val="nil"/>
              <w:bottom w:val="single" w:color="000000" w:sz="6" w:space="0"/>
              <w:right w:val="single" w:color="000000" w:sz="6" w:space="0"/>
            </w:tcBorders>
          </w:tcPr>
          <w:p>
            <w:pPr>
              <w:ind w:firstLine="0" w:firstLineChars="0"/>
              <w:rPr>
                <w:sz w:val="2"/>
                <w:szCs w:val="2"/>
                <w:highlight w:val="none"/>
              </w:rPr>
            </w:pPr>
          </w:p>
        </w:tc>
        <w:tc>
          <w:tcPr>
            <w:tcW w:w="1051" w:type="dxa"/>
            <w:tcBorders>
              <w:top w:val="single" w:color="000000" w:sz="6" w:space="0"/>
              <w:left w:val="single" w:color="000000" w:sz="6" w:space="0"/>
              <w:bottom w:val="single" w:color="000000" w:sz="6" w:space="0"/>
              <w:right w:val="single" w:color="000000" w:sz="6" w:space="0"/>
            </w:tcBorders>
          </w:tcPr>
          <w:p>
            <w:pPr>
              <w:pStyle w:val="23"/>
              <w:spacing w:before="120"/>
              <w:ind w:left="105" w:firstLine="0" w:firstLineChars="0"/>
              <w:jc w:val="center"/>
              <w:rPr>
                <w:sz w:val="24"/>
                <w:highlight w:val="none"/>
              </w:rPr>
            </w:pPr>
          </w:p>
        </w:tc>
        <w:tc>
          <w:tcPr>
            <w:tcW w:w="1307" w:type="dxa"/>
            <w:gridSpan w:val="2"/>
            <w:tcBorders>
              <w:top w:val="single" w:color="000000" w:sz="6" w:space="0"/>
              <w:left w:val="single" w:color="000000" w:sz="6" w:space="0"/>
              <w:bottom w:val="single" w:color="000000" w:sz="6" w:space="0"/>
              <w:right w:val="single" w:color="000000" w:sz="6" w:space="0"/>
            </w:tcBorders>
          </w:tcPr>
          <w:p>
            <w:pPr>
              <w:pStyle w:val="23"/>
              <w:spacing w:before="120"/>
              <w:ind w:left="121" w:firstLine="0" w:firstLineChars="0"/>
              <w:jc w:val="center"/>
              <w:rPr>
                <w:sz w:val="24"/>
                <w:highlight w:val="none"/>
              </w:rPr>
            </w:pPr>
          </w:p>
        </w:tc>
        <w:tc>
          <w:tcPr>
            <w:tcW w:w="1999" w:type="dxa"/>
            <w:gridSpan w:val="2"/>
            <w:tcBorders>
              <w:top w:val="single" w:color="000000" w:sz="6" w:space="0"/>
              <w:left w:val="single" w:color="000000" w:sz="6" w:space="0"/>
              <w:bottom w:val="single" w:color="000000" w:sz="6" w:space="0"/>
              <w:right w:val="single" w:color="000000" w:sz="6" w:space="0"/>
            </w:tcBorders>
          </w:tcPr>
          <w:p>
            <w:pPr>
              <w:pStyle w:val="23"/>
              <w:spacing w:before="120"/>
              <w:ind w:left="119" w:firstLine="0" w:firstLineChars="0"/>
              <w:jc w:val="center"/>
              <w:rPr>
                <w:sz w:val="24"/>
                <w:highlight w:val="none"/>
              </w:rPr>
            </w:pPr>
          </w:p>
        </w:tc>
        <w:tc>
          <w:tcPr>
            <w:tcW w:w="3226" w:type="dxa"/>
            <w:gridSpan w:val="3"/>
            <w:tcBorders>
              <w:top w:val="single" w:color="000000" w:sz="6" w:space="0"/>
              <w:left w:val="single" w:color="000000" w:sz="6" w:space="0"/>
              <w:bottom w:val="single" w:color="000000" w:sz="6" w:space="0"/>
            </w:tcBorders>
          </w:tcPr>
          <w:p>
            <w:pPr>
              <w:pStyle w:val="23"/>
              <w:spacing w:before="120"/>
              <w:ind w:left="9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1269" w:type="dxa"/>
            <w:vMerge w:val="continue"/>
            <w:tcBorders>
              <w:top w:val="nil"/>
              <w:bottom w:val="single" w:color="000000" w:sz="6" w:space="0"/>
              <w:right w:val="single" w:color="000000" w:sz="6" w:space="0"/>
            </w:tcBorders>
          </w:tcPr>
          <w:p>
            <w:pPr>
              <w:ind w:firstLine="0" w:firstLineChars="0"/>
              <w:rPr>
                <w:sz w:val="2"/>
                <w:szCs w:val="2"/>
                <w:highlight w:val="none"/>
              </w:rPr>
            </w:pPr>
          </w:p>
        </w:tc>
        <w:tc>
          <w:tcPr>
            <w:tcW w:w="1051" w:type="dxa"/>
            <w:tcBorders>
              <w:top w:val="single" w:color="000000" w:sz="6" w:space="0"/>
              <w:left w:val="single" w:color="000000" w:sz="6" w:space="0"/>
              <w:bottom w:val="single" w:color="000000" w:sz="6" w:space="0"/>
              <w:right w:val="single" w:color="000000" w:sz="6" w:space="0"/>
            </w:tcBorders>
          </w:tcPr>
          <w:p>
            <w:pPr>
              <w:pStyle w:val="23"/>
              <w:spacing w:before="120"/>
              <w:ind w:left="105" w:firstLine="0" w:firstLineChars="0"/>
              <w:jc w:val="center"/>
              <w:rPr>
                <w:sz w:val="24"/>
                <w:highlight w:val="none"/>
              </w:rPr>
            </w:pPr>
          </w:p>
        </w:tc>
        <w:tc>
          <w:tcPr>
            <w:tcW w:w="1307" w:type="dxa"/>
            <w:gridSpan w:val="2"/>
            <w:tcBorders>
              <w:top w:val="single" w:color="000000" w:sz="6" w:space="0"/>
              <w:left w:val="single" w:color="000000" w:sz="6" w:space="0"/>
              <w:bottom w:val="single" w:color="000000" w:sz="6" w:space="0"/>
              <w:right w:val="single" w:color="000000" w:sz="6" w:space="0"/>
            </w:tcBorders>
          </w:tcPr>
          <w:p>
            <w:pPr>
              <w:pStyle w:val="23"/>
              <w:spacing w:before="120"/>
              <w:ind w:left="121" w:firstLine="0" w:firstLineChars="0"/>
              <w:jc w:val="center"/>
              <w:rPr>
                <w:sz w:val="24"/>
                <w:highlight w:val="none"/>
              </w:rPr>
            </w:pPr>
          </w:p>
        </w:tc>
        <w:tc>
          <w:tcPr>
            <w:tcW w:w="1999" w:type="dxa"/>
            <w:gridSpan w:val="2"/>
            <w:tcBorders>
              <w:top w:val="single" w:color="000000" w:sz="6" w:space="0"/>
              <w:left w:val="single" w:color="000000" w:sz="6" w:space="0"/>
              <w:bottom w:val="single" w:color="000000" w:sz="6" w:space="0"/>
              <w:right w:val="single" w:color="000000" w:sz="6" w:space="0"/>
            </w:tcBorders>
          </w:tcPr>
          <w:p>
            <w:pPr>
              <w:pStyle w:val="23"/>
              <w:spacing w:before="120"/>
              <w:ind w:left="119" w:firstLine="0" w:firstLineChars="0"/>
              <w:jc w:val="center"/>
              <w:rPr>
                <w:sz w:val="24"/>
                <w:highlight w:val="none"/>
              </w:rPr>
            </w:pPr>
          </w:p>
        </w:tc>
        <w:tc>
          <w:tcPr>
            <w:tcW w:w="3226" w:type="dxa"/>
            <w:gridSpan w:val="3"/>
            <w:tcBorders>
              <w:top w:val="single" w:color="000000" w:sz="6" w:space="0"/>
              <w:left w:val="single" w:color="000000" w:sz="6" w:space="0"/>
              <w:bottom w:val="single" w:color="000000" w:sz="6" w:space="0"/>
            </w:tcBorders>
          </w:tcPr>
          <w:p>
            <w:pPr>
              <w:pStyle w:val="23"/>
              <w:spacing w:before="120"/>
              <w:ind w:left="97" w:firstLine="0" w:firstLineChars="0"/>
              <w:jc w:val="center"/>
              <w:rPr>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56" w:hRule="atLeast"/>
        </w:trPr>
        <w:tc>
          <w:tcPr>
            <w:tcW w:w="1269" w:type="dxa"/>
            <w:tcBorders>
              <w:top w:val="single" w:color="000000" w:sz="6" w:space="0"/>
              <w:right w:val="single" w:color="000000" w:sz="6" w:space="0"/>
            </w:tcBorders>
          </w:tcPr>
          <w:p>
            <w:pPr>
              <w:pStyle w:val="23"/>
              <w:ind w:right="12" w:firstLine="0" w:firstLineChars="0"/>
              <w:jc w:val="right"/>
              <w:rPr>
                <w:sz w:val="24"/>
                <w:highlight w:val="none"/>
              </w:rPr>
            </w:pPr>
            <w:r>
              <w:rPr>
                <w:sz w:val="24"/>
                <w:highlight w:val="none"/>
              </w:rPr>
              <w:t xml:space="preserve">公司简介 </w:t>
            </w:r>
          </w:p>
        </w:tc>
        <w:tc>
          <w:tcPr>
            <w:tcW w:w="7583" w:type="dxa"/>
            <w:gridSpan w:val="8"/>
            <w:tcBorders>
              <w:top w:val="single" w:color="000000" w:sz="6" w:space="0"/>
              <w:left w:val="single" w:color="000000" w:sz="6" w:space="0"/>
            </w:tcBorders>
          </w:tcPr>
          <w:p>
            <w:pPr>
              <w:pStyle w:val="23"/>
              <w:ind w:left="99" w:firstLine="0" w:firstLineChars="0"/>
              <w:jc w:val="center"/>
              <w:rPr>
                <w:sz w:val="24"/>
                <w:highlight w:val="none"/>
              </w:rPr>
            </w:pPr>
          </w:p>
        </w:tc>
      </w:tr>
    </w:tbl>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注：1．文字描述：企业性质、发展历程、经营规模及服务理念、主营产品、技术力量等；</w:t>
      </w: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en-US" w:eastAsia="zh-CN"/>
        </w:rPr>
        <w:t>2.</w:t>
      </w:r>
      <w:r>
        <w:rPr>
          <w:rFonts w:hint="eastAsia"/>
          <w:sz w:val="24"/>
          <w:highlight w:val="none"/>
          <w:lang w:val="zh-CN" w:eastAsia="zh-CN"/>
        </w:rPr>
        <w:t xml:space="preserve">图片描述：经营场所、主要经营项目等；            </w:t>
      </w:r>
    </w:p>
    <w:p>
      <w:pPr>
        <w:pStyle w:val="20"/>
        <w:numPr>
          <w:ilvl w:val="0"/>
          <w:numId w:val="0"/>
        </w:numPr>
        <w:spacing w:line="360" w:lineRule="auto"/>
        <w:ind w:leftChars="25" w:right="0" w:rightChars="0"/>
        <w:rPr>
          <w:rFonts w:hint="eastAsia"/>
          <w:sz w:val="24"/>
          <w:highlight w:val="none"/>
          <w:lang w:val="zh-CN" w:eastAsia="zh-CN"/>
        </w:rPr>
      </w:pPr>
      <w:r>
        <w:rPr>
          <w:rFonts w:hint="eastAsia"/>
          <w:sz w:val="24"/>
          <w:highlight w:val="none"/>
          <w:lang w:val="zh-CN" w:eastAsia="zh-CN"/>
        </w:rPr>
        <w:t xml:space="preserve">3．如投标此表数据有虚假，一经查实，自行承担相关责任。 </w:t>
      </w:r>
    </w:p>
    <w:p>
      <w:pPr>
        <w:spacing w:after="0" w:line="374" w:lineRule="auto"/>
        <w:ind w:firstLine="0" w:firstLineChars="0"/>
        <w:rPr>
          <w:highlight w:val="none"/>
        </w:rPr>
        <w:sectPr>
          <w:pgSz w:w="11910" w:h="16850"/>
          <w:pgMar w:top="1440" w:right="1080" w:bottom="1440" w:left="1080" w:header="0" w:footer="735"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9</w:t>
      </w:r>
      <w:r>
        <w:rPr>
          <w:rFonts w:hint="eastAsia" w:ascii="宋体" w:hAnsi="宋体" w:eastAsia="宋体" w:cs="宋体"/>
          <w:b/>
          <w:bCs/>
          <w:kern w:val="2"/>
          <w:sz w:val="21"/>
          <w:szCs w:val="24"/>
          <w:highlight w:val="none"/>
          <w:lang w:val="zh-CN" w:eastAsia="zh-CN" w:bidi="ar-SA"/>
        </w:rPr>
        <w:t xml:space="preserve"> 招标代理服务费承诺书 </w:t>
      </w:r>
    </w:p>
    <w:p>
      <w:pPr>
        <w:autoSpaceDE/>
        <w:autoSpaceDN/>
        <w:spacing w:before="0" w:after="0" w:line="480" w:lineRule="auto"/>
        <w:ind w:right="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 xml:space="preserve">招标代理服务费承诺书 </w:t>
      </w: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 xml:space="preserve">致：中科高盛咨询集团有限公司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如果我公司在贵公司组织的：</w:t>
      </w:r>
      <w:r>
        <w:rPr>
          <w:rFonts w:hint="eastAsia"/>
          <w:sz w:val="24"/>
          <w:highlight w:val="none"/>
          <w:u w:val="single"/>
          <w:lang w:val="zh-CN" w:eastAsia="zh-CN"/>
        </w:rPr>
        <w:t>2021—2023年度东片区保障性住房及配套设备设施日常小额维修项目建库（项目编号：ZKGSF(ZB)-2021）</w:t>
      </w:r>
      <w:r>
        <w:rPr>
          <w:rFonts w:hint="eastAsia"/>
          <w:sz w:val="24"/>
          <w:highlight w:val="none"/>
          <w:lang w:val="zh-CN" w:eastAsia="zh-CN"/>
        </w:rPr>
        <w:t xml:space="preserve">招标中获中标，我公司保证按照招标文件规定缴纳的“招标代理服务费”后，凭领取人身份证原件及招标代理服务费缴费凭证并加盖公章领取《中标通知书》。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 xml:space="preserve">我公司如违反上款承诺，愿凭贵公司开出的相关通知，从投标保证金中直接扣除招标代理服务费，招标人根据中标合同约定支付给我公司的合同款中扣付，并在此同意和要求投标保函开立银行及中科高盛咨询集团有限公司的要求办理支付手续，并愿承担全部由此引起的法律责任。 </w:t>
      </w:r>
    </w:p>
    <w:p>
      <w:pPr>
        <w:pStyle w:val="20"/>
        <w:spacing w:line="360" w:lineRule="auto"/>
        <w:ind w:left="0" w:leftChars="0" w:firstLine="480" w:firstLineChars="200"/>
        <w:rPr>
          <w:rFonts w:hint="eastAsia"/>
          <w:sz w:val="24"/>
          <w:highlight w:val="none"/>
          <w:lang w:val="zh-CN" w:eastAsia="zh-CN"/>
        </w:rPr>
      </w:pP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 xml:space="preserve">特此承诺！ </w:t>
      </w:r>
    </w:p>
    <w:p>
      <w:pPr>
        <w:pStyle w:val="20"/>
        <w:spacing w:line="360" w:lineRule="auto"/>
        <w:ind w:left="0" w:leftChars="0" w:firstLine="480" w:firstLineChars="200"/>
        <w:rPr>
          <w:rFonts w:hint="eastAsia"/>
          <w:sz w:val="24"/>
          <w:highlight w:val="none"/>
          <w:lang w:val="zh-CN" w:eastAsia="zh-CN"/>
        </w:rPr>
      </w:pPr>
    </w:p>
    <w:p>
      <w:pPr>
        <w:pStyle w:val="20"/>
        <w:spacing w:line="360" w:lineRule="auto"/>
        <w:ind w:left="0" w:leftChars="0" w:firstLine="480" w:firstLineChars="200"/>
        <w:rPr>
          <w:rFonts w:hint="eastAsia"/>
          <w:sz w:val="24"/>
          <w:highlight w:val="none"/>
          <w:lang w:val="zh-CN" w:eastAsia="zh-CN"/>
        </w:rPr>
      </w:pP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投标人名称（盖公章）：</w:t>
      </w: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投标人授权代表（签字或盖章）：</w:t>
      </w: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 xml:space="preserve">日 期 ： 年 月 日 </w:t>
      </w:r>
    </w:p>
    <w:p>
      <w:pPr>
        <w:pStyle w:val="20"/>
        <w:spacing w:line="360" w:lineRule="auto"/>
        <w:ind w:left="0" w:leftChars="0" w:firstLine="0" w:firstLineChars="0"/>
        <w:rPr>
          <w:rFonts w:hint="eastAsia"/>
          <w:sz w:val="24"/>
          <w:highlight w:val="none"/>
          <w:lang w:val="zh-CN" w:eastAsia="zh-CN"/>
        </w:rPr>
        <w:sectPr>
          <w:pgSz w:w="11910" w:h="16850"/>
          <w:pgMar w:top="1440" w:right="1080" w:bottom="1440" w:left="1080" w:header="0" w:footer="735" w:gutter="0"/>
          <w:cols w:space="720" w:num="1"/>
        </w:sectPr>
      </w:pPr>
    </w:p>
    <w:p>
      <w:pPr>
        <w:autoSpaceDE/>
        <w:autoSpaceDN/>
        <w:spacing w:before="0" w:after="0" w:line="400" w:lineRule="exact"/>
        <w:ind w:left="0" w:right="0" w:firstLine="422" w:firstLineChars="200"/>
        <w:jc w:val="both"/>
        <w:rPr>
          <w:rFonts w:hint="eastAsia" w:ascii="宋体" w:hAnsi="宋体" w:eastAsia="宋体" w:cs="宋体"/>
          <w:b/>
          <w:bCs/>
          <w:kern w:val="2"/>
          <w:sz w:val="21"/>
          <w:szCs w:val="24"/>
          <w:highlight w:val="none"/>
          <w:lang w:val="zh-CN" w:eastAsia="zh-CN" w:bidi="ar-SA"/>
        </w:rPr>
      </w:pPr>
      <w:r>
        <w:rPr>
          <w:rFonts w:hint="eastAsia" w:ascii="宋体" w:hAnsi="宋体" w:eastAsia="宋体" w:cs="宋体"/>
          <w:b/>
          <w:bCs/>
          <w:kern w:val="2"/>
          <w:sz w:val="21"/>
          <w:szCs w:val="24"/>
          <w:highlight w:val="none"/>
          <w:lang w:val="zh-CN" w:eastAsia="zh-CN" w:bidi="ar-SA"/>
        </w:rPr>
        <w:t xml:space="preserve">格式 </w:t>
      </w:r>
      <w:r>
        <w:rPr>
          <w:rFonts w:hint="eastAsia" w:cs="宋体"/>
          <w:b/>
          <w:bCs/>
          <w:kern w:val="2"/>
          <w:sz w:val="21"/>
          <w:szCs w:val="24"/>
          <w:highlight w:val="none"/>
          <w:lang w:val="en-US" w:eastAsia="zh-CN" w:bidi="ar-SA"/>
        </w:rPr>
        <w:t>10</w:t>
      </w:r>
      <w:r>
        <w:rPr>
          <w:rFonts w:hint="eastAsia" w:ascii="宋体" w:hAnsi="宋体" w:eastAsia="宋体" w:cs="宋体"/>
          <w:b/>
          <w:bCs/>
          <w:kern w:val="2"/>
          <w:sz w:val="21"/>
          <w:szCs w:val="24"/>
          <w:highlight w:val="none"/>
          <w:lang w:val="zh-CN" w:eastAsia="zh-CN" w:bidi="ar-SA"/>
        </w:rPr>
        <w:t xml:space="preserve"> 开票资料说明函 </w:t>
      </w:r>
    </w:p>
    <w:p>
      <w:pPr>
        <w:autoSpaceDE/>
        <w:autoSpaceDN/>
        <w:spacing w:before="0" w:after="0" w:line="480" w:lineRule="auto"/>
        <w:ind w:right="0"/>
        <w:jc w:val="center"/>
        <w:rPr>
          <w:rFonts w:hint="eastAsia" w:ascii="宋体" w:hAnsi="宋体" w:eastAsia="宋体" w:cs="宋体"/>
          <w:b/>
          <w:bCs/>
          <w:kern w:val="2"/>
          <w:sz w:val="36"/>
          <w:szCs w:val="44"/>
          <w:highlight w:val="none"/>
          <w:lang w:val="zh-CN" w:eastAsia="zh-CN" w:bidi="ar-SA"/>
        </w:rPr>
      </w:pPr>
      <w:r>
        <w:rPr>
          <w:rFonts w:hint="eastAsia" w:ascii="宋体" w:hAnsi="宋体" w:eastAsia="宋体" w:cs="宋体"/>
          <w:b/>
          <w:bCs/>
          <w:kern w:val="2"/>
          <w:sz w:val="36"/>
          <w:szCs w:val="44"/>
          <w:highlight w:val="none"/>
          <w:lang w:val="zh-CN" w:eastAsia="zh-CN" w:bidi="ar-SA"/>
        </w:rPr>
        <w:t xml:space="preserve">开票资料说明函 </w:t>
      </w:r>
    </w:p>
    <w:p>
      <w:pPr>
        <w:pStyle w:val="20"/>
        <w:spacing w:line="360" w:lineRule="auto"/>
        <w:ind w:left="0" w:leftChars="0" w:firstLine="0" w:firstLineChars="0"/>
        <w:rPr>
          <w:rFonts w:hint="eastAsia"/>
          <w:sz w:val="24"/>
          <w:highlight w:val="none"/>
          <w:lang w:val="zh-CN" w:eastAsia="zh-CN"/>
        </w:rPr>
      </w:pPr>
      <w:r>
        <w:rPr>
          <w:rFonts w:hint="eastAsia"/>
          <w:sz w:val="24"/>
          <w:highlight w:val="none"/>
          <w:lang w:val="zh-CN" w:eastAsia="zh-CN"/>
        </w:rPr>
        <w:t xml:space="preserve">中科高盛咨询集团有限公司：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本公司</w:t>
      </w:r>
      <w:r>
        <w:rPr>
          <w:rFonts w:hint="eastAsia"/>
          <w:sz w:val="24"/>
          <w:highlight w:val="none"/>
          <w:u w:val="single"/>
          <w:lang w:val="zh-CN" w:eastAsia="zh-CN"/>
        </w:rPr>
        <w:t xml:space="preserve"> （投标人名称）</w:t>
      </w:r>
      <w:r>
        <w:rPr>
          <w:rFonts w:hint="eastAsia"/>
          <w:sz w:val="24"/>
          <w:highlight w:val="none"/>
          <w:lang w:val="zh-CN" w:eastAsia="zh-CN"/>
        </w:rPr>
        <w:t xml:space="preserve"> 在参加贵公司举行的</w:t>
      </w:r>
      <w:r>
        <w:rPr>
          <w:rFonts w:hint="eastAsia"/>
          <w:sz w:val="24"/>
          <w:highlight w:val="none"/>
          <w:u w:val="single"/>
          <w:lang w:val="zh-CN" w:eastAsia="zh-CN"/>
        </w:rPr>
        <w:t>2021—2023年度东片区保障性住房及配套设备设施日常小额维修项目建库（项目编号为：ZKGSF(ZB)-2021）</w:t>
      </w:r>
      <w:r>
        <w:rPr>
          <w:rFonts w:hint="eastAsia"/>
          <w:sz w:val="24"/>
          <w:highlight w:val="none"/>
          <w:lang w:val="zh-CN" w:eastAsia="zh-CN"/>
        </w:rPr>
        <w:t xml:space="preserve">的招标中如获中标，招标代理服务费发票则按以下选择进行开票： </w:t>
      </w:r>
    </w:p>
    <w:tbl>
      <w:tblPr>
        <w:tblStyle w:val="16"/>
        <w:tblW w:w="0" w:type="auto"/>
        <w:tblInd w:w="5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54"/>
        <w:gridCol w:w="1998"/>
        <w:gridCol w:w="20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4" w:hRule="atLeast"/>
        </w:trPr>
        <w:tc>
          <w:tcPr>
            <w:tcW w:w="4754" w:type="dxa"/>
            <w:tcBorders>
              <w:right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 xml:space="preserve">发票类型 </w:t>
            </w:r>
          </w:p>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 xml:space="preserve">（请在对应的“□”打“√”，且只能选择其中一项） </w:t>
            </w:r>
          </w:p>
        </w:tc>
        <w:tc>
          <w:tcPr>
            <w:tcW w:w="1998" w:type="dxa"/>
            <w:tcBorders>
              <w:left w:val="single" w:color="000000" w:sz="6" w:space="0"/>
              <w:right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 xml:space="preserve">□增值税普通发票 </w:t>
            </w:r>
          </w:p>
        </w:tc>
        <w:tc>
          <w:tcPr>
            <w:tcW w:w="2096" w:type="dxa"/>
            <w:tcBorders>
              <w:left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 xml:space="preserve">□增值税专用发票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2" w:hRule="atLeast"/>
        </w:trPr>
        <w:tc>
          <w:tcPr>
            <w:tcW w:w="8848" w:type="dxa"/>
            <w:gridSpan w:val="3"/>
          </w:tcPr>
          <w:p>
            <w:pPr>
              <w:pStyle w:val="23"/>
              <w:spacing w:before="120"/>
              <w:ind w:left="175" w:right="26" w:firstLine="0" w:firstLineChars="0"/>
              <w:jc w:val="left"/>
              <w:rPr>
                <w:rFonts w:hint="eastAsia"/>
                <w:b/>
                <w:bCs/>
                <w:sz w:val="22"/>
                <w:szCs w:val="21"/>
                <w:highlight w:val="none"/>
                <w:lang w:eastAsia="zh-CN"/>
              </w:rPr>
            </w:pPr>
            <w:r>
              <w:rPr>
                <w:rFonts w:hint="eastAsia"/>
                <w:b/>
                <w:bCs/>
                <w:sz w:val="22"/>
                <w:szCs w:val="21"/>
                <w:highlight w:val="none"/>
                <w:lang w:eastAsia="zh-CN"/>
              </w:rPr>
              <w:t xml:space="preserve">如选择“增值税专用发票”，则投标时必须提供以下资料信息： </w:t>
            </w:r>
          </w:p>
          <w:p>
            <w:pPr>
              <w:pStyle w:val="23"/>
              <w:spacing w:before="120"/>
              <w:ind w:left="175" w:right="26" w:firstLine="0" w:firstLineChars="0"/>
              <w:jc w:val="left"/>
              <w:rPr>
                <w:rFonts w:hint="eastAsia"/>
                <w:sz w:val="22"/>
                <w:szCs w:val="21"/>
                <w:highlight w:val="none"/>
                <w:lang w:eastAsia="zh-CN"/>
              </w:rPr>
            </w:pPr>
            <w:r>
              <w:rPr>
                <w:rFonts w:hint="eastAsia"/>
                <w:sz w:val="22"/>
                <w:szCs w:val="21"/>
                <w:highlight w:val="none"/>
                <w:lang w:eastAsia="zh-CN"/>
              </w:rPr>
              <w:t xml:space="preserve">1、一般纳税人资格认定税务通知书或其他可证明具有该项资格证明文件的复印件，加盖单位公章；  </w:t>
            </w:r>
          </w:p>
          <w:p>
            <w:pPr>
              <w:pStyle w:val="23"/>
              <w:spacing w:before="120"/>
              <w:ind w:left="175" w:right="26" w:firstLine="0" w:firstLineChars="0"/>
              <w:jc w:val="left"/>
              <w:rPr>
                <w:rFonts w:hint="eastAsia"/>
                <w:sz w:val="22"/>
                <w:szCs w:val="21"/>
                <w:highlight w:val="none"/>
                <w:lang w:eastAsia="zh-CN"/>
              </w:rPr>
            </w:pPr>
            <w:r>
              <w:rPr>
                <w:rFonts w:hint="eastAsia"/>
                <w:sz w:val="22"/>
                <w:szCs w:val="21"/>
                <w:highlight w:val="none"/>
                <w:lang w:eastAsia="zh-CN"/>
              </w:rPr>
              <w:t>2、客户的开票资料（单位名称、纳税人识别号、地址、电话、开户行全称及账号），加盖单</w:t>
            </w:r>
          </w:p>
          <w:p>
            <w:pPr>
              <w:pStyle w:val="23"/>
              <w:spacing w:before="120"/>
              <w:ind w:left="175" w:right="26" w:firstLine="0" w:firstLineChars="0"/>
              <w:jc w:val="left"/>
              <w:rPr>
                <w:rFonts w:hint="eastAsia"/>
                <w:sz w:val="24"/>
                <w:highlight w:val="none"/>
                <w:lang w:eastAsia="zh-CN"/>
              </w:rPr>
            </w:pPr>
            <w:r>
              <w:rPr>
                <w:rFonts w:hint="eastAsia"/>
                <w:sz w:val="22"/>
                <w:szCs w:val="21"/>
                <w:highlight w:val="none"/>
                <w:lang w:eastAsia="zh-CN"/>
              </w:rPr>
              <w:t>位公章。</w:t>
            </w:r>
            <w:r>
              <w:rPr>
                <w:rFonts w:hint="eastAsia"/>
                <w:sz w:val="24"/>
                <w:highlight w:val="none"/>
                <w:lang w:eastAsia="zh-CN"/>
              </w:rPr>
              <w:t xml:space="preserve"> </w:t>
            </w:r>
          </w:p>
        </w:tc>
      </w:tr>
    </w:tbl>
    <w:p>
      <w:pPr>
        <w:spacing w:before="136"/>
        <w:ind w:left="651" w:right="0" w:firstLine="422" w:firstLineChars="200"/>
        <w:jc w:val="left"/>
        <w:rPr>
          <w:b/>
          <w:w w:val="99"/>
          <w:sz w:val="21"/>
          <w:highlight w:val="none"/>
        </w:rPr>
      </w:pPr>
      <w:r>
        <w:rPr>
          <w:b/>
          <w:sz w:val="21"/>
          <w:highlight w:val="none"/>
        </w:rPr>
        <w:t>附：缴纳招标代理服务费账号：</w:t>
      </w:r>
      <w:r>
        <w:rPr>
          <w:b/>
          <w:w w:val="99"/>
          <w:sz w:val="21"/>
          <w:highlight w:val="none"/>
        </w:rPr>
        <w:t xml:space="preserve"> </w:t>
      </w:r>
    </w:p>
    <w:tbl>
      <w:tblPr>
        <w:tblStyle w:val="16"/>
        <w:tblW w:w="0" w:type="auto"/>
        <w:tblInd w:w="60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7"/>
        <w:gridCol w:w="63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2417" w:type="dxa"/>
            <w:tcBorders>
              <w:left w:val="single" w:color="000000" w:sz="18" w:space="0"/>
              <w:bottom w:val="single" w:color="000000" w:sz="6" w:space="0"/>
              <w:right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收款人名称</w:t>
            </w:r>
          </w:p>
        </w:tc>
        <w:tc>
          <w:tcPr>
            <w:tcW w:w="6383" w:type="dxa"/>
            <w:tcBorders>
              <w:left w:val="single" w:color="000000" w:sz="6" w:space="0"/>
              <w:bottom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中科高盛咨询集团有限公司广东分公司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2417" w:type="dxa"/>
            <w:tcBorders>
              <w:top w:val="single" w:color="000000" w:sz="6" w:space="0"/>
              <w:left w:val="single" w:color="000000" w:sz="18" w:space="0"/>
              <w:bottom w:val="single" w:color="000000" w:sz="6" w:space="0"/>
              <w:right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开户银行</w:t>
            </w:r>
          </w:p>
        </w:tc>
        <w:tc>
          <w:tcPr>
            <w:tcW w:w="6383" w:type="dxa"/>
            <w:tcBorders>
              <w:top w:val="single" w:color="000000" w:sz="6" w:space="0"/>
              <w:left w:val="single" w:color="000000" w:sz="6" w:space="0"/>
              <w:bottom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中国工商银行股份有限公司广州粤秀支行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417" w:type="dxa"/>
            <w:tcBorders>
              <w:top w:val="single" w:color="000000" w:sz="6" w:space="0"/>
              <w:left w:val="single" w:color="000000" w:sz="18" w:space="0"/>
              <w:right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账    号</w:t>
            </w:r>
          </w:p>
        </w:tc>
        <w:tc>
          <w:tcPr>
            <w:tcW w:w="6383" w:type="dxa"/>
            <w:tcBorders>
              <w:top w:val="single" w:color="000000" w:sz="6" w:space="0"/>
              <w:left w:val="single" w:color="000000" w:sz="6" w:space="0"/>
            </w:tcBorders>
          </w:tcPr>
          <w:p>
            <w:pPr>
              <w:pStyle w:val="23"/>
              <w:spacing w:before="120"/>
              <w:ind w:left="175" w:right="26" w:firstLine="0" w:firstLineChars="0"/>
              <w:jc w:val="center"/>
              <w:rPr>
                <w:rFonts w:hint="eastAsia"/>
                <w:sz w:val="22"/>
                <w:szCs w:val="21"/>
                <w:highlight w:val="none"/>
                <w:lang w:eastAsia="zh-CN"/>
              </w:rPr>
            </w:pPr>
            <w:r>
              <w:rPr>
                <w:rFonts w:hint="eastAsia"/>
                <w:sz w:val="22"/>
                <w:szCs w:val="21"/>
                <w:highlight w:val="none"/>
                <w:lang w:eastAsia="zh-CN"/>
              </w:rPr>
              <w:t>3602015009201679628</w:t>
            </w:r>
          </w:p>
        </w:tc>
      </w:tr>
    </w:tbl>
    <w:p>
      <w:pPr>
        <w:pStyle w:val="20"/>
        <w:spacing w:line="360" w:lineRule="auto"/>
        <w:ind w:left="0" w:leftChars="0" w:firstLine="482" w:firstLineChars="200"/>
        <w:rPr>
          <w:rFonts w:hint="eastAsia"/>
          <w:b/>
          <w:bCs/>
          <w:sz w:val="24"/>
          <w:highlight w:val="none"/>
          <w:lang w:val="zh-CN" w:eastAsia="zh-CN"/>
        </w:rPr>
      </w:pPr>
      <w:r>
        <w:rPr>
          <w:rFonts w:hint="eastAsia"/>
          <w:b/>
          <w:bCs/>
          <w:sz w:val="24"/>
          <w:highlight w:val="none"/>
          <w:lang w:val="zh-CN" w:eastAsia="zh-CN"/>
        </w:rPr>
        <w:t xml:space="preserve">温馨提示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en-US" w:eastAsia="zh-CN"/>
        </w:rPr>
        <w:t>1.</w:t>
      </w:r>
      <w:r>
        <w:rPr>
          <w:rFonts w:hint="eastAsia"/>
          <w:sz w:val="24"/>
          <w:highlight w:val="none"/>
          <w:lang w:val="zh-CN" w:eastAsia="zh-CN"/>
        </w:rPr>
        <w:t xml:space="preserve">投标时，投标人必须确认“缴纳招标代理服务费”开具的发票类型。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en-US" w:eastAsia="zh-CN"/>
        </w:rPr>
        <w:t>2.</w:t>
      </w:r>
      <w:r>
        <w:rPr>
          <w:rFonts w:hint="eastAsia"/>
          <w:sz w:val="24"/>
          <w:highlight w:val="none"/>
          <w:lang w:val="zh-CN" w:eastAsia="zh-CN"/>
        </w:rPr>
        <w:t xml:space="preserve">投标人中标后，我司将按该投标人所递交的投标文件中《开票资料说明函》确认的发票类型作为开具发票类型的依据；若投标人投标时未确认，则视为开具增值税普通发票。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en-US" w:eastAsia="zh-CN"/>
        </w:rPr>
        <w:t>3.</w:t>
      </w:r>
      <w:r>
        <w:rPr>
          <w:rFonts w:hint="eastAsia"/>
          <w:sz w:val="24"/>
          <w:highlight w:val="none"/>
          <w:lang w:val="zh-CN" w:eastAsia="zh-CN"/>
        </w:rPr>
        <w:t xml:space="preserve">因投标人投标时确认的发票类型有误或未确认，我司将不予更换发票类型。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 xml:space="preserve">投标人名称（盖公章）：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投标人授权代表（签字或盖章）：</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 xml:space="preserve">职 务 ：                                   </w:t>
      </w:r>
    </w:p>
    <w:p>
      <w:pPr>
        <w:pStyle w:val="20"/>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t>日 期 ：</w:t>
      </w:r>
      <w:r>
        <w:rPr>
          <w:rFonts w:hint="eastAsia"/>
          <w:sz w:val="24"/>
          <w:highlight w:val="none"/>
          <w:u w:val="single"/>
          <w:lang w:val="zh-CN" w:eastAsia="zh-CN"/>
        </w:rPr>
        <w:t xml:space="preserve"> </w:t>
      </w:r>
      <w:r>
        <w:rPr>
          <w:rFonts w:hint="eastAsia"/>
          <w:sz w:val="24"/>
          <w:highlight w:val="none"/>
          <w:u w:val="single"/>
          <w:lang w:val="en-US" w:eastAsia="zh-CN"/>
        </w:rPr>
        <w:t xml:space="preserve">     </w:t>
      </w:r>
      <w:r>
        <w:rPr>
          <w:rFonts w:hint="eastAsia"/>
          <w:sz w:val="24"/>
          <w:highlight w:val="none"/>
          <w:u w:val="single"/>
          <w:lang w:val="zh-CN" w:eastAsia="zh-CN"/>
        </w:rPr>
        <w:t xml:space="preserve">年 </w:t>
      </w:r>
      <w:r>
        <w:rPr>
          <w:rFonts w:hint="eastAsia"/>
          <w:sz w:val="24"/>
          <w:highlight w:val="none"/>
          <w:u w:val="single"/>
          <w:lang w:val="en-US" w:eastAsia="zh-CN"/>
        </w:rPr>
        <w:t xml:space="preserve">    </w:t>
      </w:r>
      <w:r>
        <w:rPr>
          <w:rFonts w:hint="eastAsia"/>
          <w:sz w:val="24"/>
          <w:highlight w:val="none"/>
          <w:u w:val="single"/>
          <w:lang w:val="zh-CN" w:eastAsia="zh-CN"/>
        </w:rPr>
        <w:t xml:space="preserve">月 </w:t>
      </w:r>
      <w:r>
        <w:rPr>
          <w:rFonts w:hint="eastAsia"/>
          <w:sz w:val="24"/>
          <w:highlight w:val="none"/>
          <w:u w:val="single"/>
          <w:lang w:val="en-US" w:eastAsia="zh-CN"/>
        </w:rPr>
        <w:t xml:space="preserve">   </w:t>
      </w:r>
      <w:r>
        <w:rPr>
          <w:rFonts w:hint="eastAsia"/>
          <w:sz w:val="24"/>
          <w:highlight w:val="none"/>
          <w:u w:val="single"/>
          <w:lang w:val="zh-CN" w:eastAsia="zh-CN"/>
        </w:rPr>
        <w:t>日</w:t>
      </w:r>
      <w:r>
        <w:rPr>
          <w:rFonts w:hint="eastAsia"/>
          <w:sz w:val="24"/>
          <w:highlight w:val="none"/>
          <w:lang w:val="zh-CN" w:eastAsia="zh-CN"/>
        </w:rPr>
        <w:t xml:space="preserve"> </w:t>
      </w:r>
    </w:p>
    <w:p>
      <w:pPr>
        <w:spacing w:line="360" w:lineRule="auto"/>
        <w:ind w:left="0" w:leftChars="0" w:firstLine="480" w:firstLineChars="200"/>
        <w:rPr>
          <w:rFonts w:hint="eastAsia"/>
          <w:sz w:val="24"/>
          <w:highlight w:val="none"/>
          <w:lang w:val="zh-CN" w:eastAsia="zh-CN"/>
        </w:rPr>
      </w:pPr>
      <w:r>
        <w:rPr>
          <w:rFonts w:hint="eastAsia"/>
          <w:sz w:val="24"/>
          <w:highlight w:val="none"/>
          <w:lang w:val="zh-CN" w:eastAsia="zh-CN"/>
        </w:rPr>
        <w:br w:type="page"/>
      </w:r>
    </w:p>
    <w:p>
      <w:pPr>
        <w:pStyle w:val="8"/>
        <w:spacing w:line="360" w:lineRule="auto"/>
        <w:rPr>
          <w:rFonts w:hint="default" w:asciiTheme="minorEastAsia" w:hAnsiTheme="minorEastAsia" w:eastAsiaTheme="minorEastAsia"/>
          <w:szCs w:val="24"/>
          <w:highlight w:val="none"/>
          <w:lang w:val="en-US" w:eastAsia="zh-CN"/>
        </w:rPr>
      </w:pPr>
      <w:bookmarkStart w:id="10" w:name="_Toc173553195"/>
      <w:bookmarkStart w:id="11" w:name="_Toc43218916"/>
      <w:bookmarkStart w:id="12" w:name="_Toc275865626"/>
      <w:r>
        <w:rPr>
          <w:rFonts w:hint="eastAsia" w:asciiTheme="minorEastAsia" w:hAnsiTheme="minorEastAsia" w:eastAsiaTheme="minorEastAsia"/>
          <w:b/>
          <w:bCs/>
          <w:szCs w:val="24"/>
          <w:highlight w:val="none"/>
        </w:rPr>
        <w:t>格式</w:t>
      </w:r>
      <w:r>
        <w:rPr>
          <w:rFonts w:hint="eastAsia" w:asciiTheme="minorEastAsia" w:hAnsiTheme="minorEastAsia" w:eastAsiaTheme="minorEastAsia"/>
          <w:b/>
          <w:bCs/>
          <w:szCs w:val="24"/>
          <w:highlight w:val="none"/>
          <w:lang w:val="en-US" w:eastAsia="zh-CN"/>
        </w:rPr>
        <w:t>11 退投标保证金说明</w:t>
      </w:r>
    </w:p>
    <w:p>
      <w:pPr>
        <w:pStyle w:val="8"/>
        <w:widowControl/>
        <w:adjustRightInd w:val="0"/>
        <w:snapToGrid w:val="0"/>
        <w:spacing w:after="0" w:line="360" w:lineRule="auto"/>
        <w:jc w:val="center"/>
        <w:rPr>
          <w:rFonts w:hint="eastAsia" w:asciiTheme="minorEastAsia" w:hAnsiTheme="minorEastAsia" w:eastAsiaTheme="minorEastAsia"/>
          <w:b/>
          <w:sz w:val="36"/>
          <w:szCs w:val="36"/>
          <w:highlight w:val="none"/>
          <w:lang w:eastAsia="zh-CN"/>
        </w:rPr>
      </w:pPr>
      <w:r>
        <w:rPr>
          <w:rFonts w:hint="eastAsia" w:asciiTheme="minorEastAsia" w:hAnsiTheme="minorEastAsia" w:eastAsiaTheme="minorEastAsia"/>
          <w:b/>
          <w:sz w:val="36"/>
          <w:szCs w:val="36"/>
          <w:highlight w:val="none"/>
        </w:rPr>
        <w:t>退投标保证金说明</w:t>
      </w:r>
      <w:bookmarkEnd w:id="10"/>
      <w:bookmarkEnd w:id="11"/>
      <w:bookmarkEnd w:id="12"/>
    </w:p>
    <w:p>
      <w:pPr>
        <w:adjustRightInd w:val="0"/>
        <w:snapToGrid w:val="0"/>
        <w:spacing w:line="360" w:lineRule="auto"/>
        <w:ind w:firstLine="442" w:firstLineChars="20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特别提醒：</w:t>
      </w:r>
    </w:p>
    <w:p>
      <w:pPr>
        <w:adjustRightInd w:val="0"/>
        <w:snapToGrid w:val="0"/>
        <w:spacing w:line="360" w:lineRule="auto"/>
        <w:ind w:firstLine="442" w:firstLineChars="20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投标人缴纳的投标保证金，原则上，</w:t>
      </w:r>
      <w:r>
        <w:rPr>
          <w:rFonts w:hint="eastAsia" w:asciiTheme="minorEastAsia" w:hAnsiTheme="minorEastAsia" w:eastAsiaTheme="minorEastAsia"/>
          <w:b/>
          <w:szCs w:val="21"/>
          <w:highlight w:val="none"/>
          <w:u w:val="thick"/>
        </w:rPr>
        <w:t>我司按保证金汇入的原账户退还，</w:t>
      </w:r>
      <w:r>
        <w:rPr>
          <w:rFonts w:hint="eastAsia" w:asciiTheme="minorEastAsia" w:hAnsiTheme="minorEastAsia" w:eastAsiaTheme="minorEastAsia"/>
          <w:b/>
          <w:szCs w:val="21"/>
          <w:highlight w:val="none"/>
        </w:rPr>
        <w:t>投标人必须填写原来汇入我司保证金账户时的账户信息。</w:t>
      </w:r>
    </w:p>
    <w:p>
      <w:pPr>
        <w:adjustRightInd w:val="0"/>
        <w:snapToGrid w:val="0"/>
        <w:spacing w:line="360" w:lineRule="auto"/>
        <w:ind w:firstLine="44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我方为</w:t>
      </w:r>
      <w:r>
        <w:rPr>
          <w:rFonts w:hint="eastAsia" w:asciiTheme="minorEastAsia" w:hAnsiTheme="minorEastAsia" w:eastAsiaTheme="minorEastAsia"/>
          <w:szCs w:val="21"/>
          <w:highlight w:val="none"/>
          <w:u w:val="single"/>
          <w:lang w:eastAsia="zh-CN"/>
        </w:rPr>
        <w:t>2021—2023年度东片区保障性住房及配套设备设施日常小额维修项目建库</w:t>
      </w:r>
      <w:r>
        <w:rPr>
          <w:rFonts w:hint="eastAsia" w:asciiTheme="minorEastAsia" w:hAnsiTheme="minorEastAsia" w:eastAsiaTheme="minorEastAsia"/>
          <w:szCs w:val="21"/>
          <w:highlight w:val="none"/>
        </w:rPr>
        <w:t>的投标（项目编号为：</w:t>
      </w:r>
      <w:r>
        <w:rPr>
          <w:rFonts w:hint="eastAsia" w:asciiTheme="minorEastAsia" w:hAnsiTheme="minorEastAsia" w:eastAsiaTheme="minorEastAsia"/>
          <w:szCs w:val="21"/>
          <w:highlight w:val="none"/>
          <w:lang w:eastAsia="zh-CN"/>
        </w:rPr>
        <w:t>ZKGSF(ZB)-2021</w:t>
      </w:r>
      <w:r>
        <w:rPr>
          <w:rFonts w:hint="eastAsia" w:asciiTheme="minorEastAsia" w:hAnsiTheme="minorEastAsia" w:eastAsiaTheme="minorEastAsia"/>
          <w:szCs w:val="21"/>
          <w:highlight w:val="none"/>
        </w:rPr>
        <w:t>）所提交的投标保证金</w:t>
      </w:r>
      <w:r>
        <w:rPr>
          <w:rFonts w:hint="eastAsia" w:asciiTheme="minorEastAsia" w:hAnsiTheme="minorEastAsia" w:eastAsiaTheme="minorEastAsia"/>
          <w:szCs w:val="21"/>
          <w:highlight w:val="none"/>
          <w:u w:val="single"/>
        </w:rPr>
        <w:t>（大写金额）</w:t>
      </w:r>
      <w:r>
        <w:rPr>
          <w:rFonts w:hint="eastAsia" w:asciiTheme="minorEastAsia" w:hAnsiTheme="minorEastAsia" w:eastAsiaTheme="minorEastAsia"/>
          <w:szCs w:val="21"/>
          <w:highlight w:val="none"/>
        </w:rPr>
        <w:t>元，请贵司退还投标保证金</w:t>
      </w:r>
      <w:r>
        <w:rPr>
          <w:rFonts w:hint="eastAsia" w:asciiTheme="minorEastAsia" w:hAnsiTheme="minorEastAsia" w:eastAsiaTheme="minorEastAsia"/>
          <w:szCs w:val="21"/>
          <w:highlight w:val="none"/>
          <w:u w:val="single"/>
        </w:rPr>
        <w:t>（小写金额）</w:t>
      </w:r>
      <w:r>
        <w:rPr>
          <w:rFonts w:hint="eastAsia" w:asciiTheme="minorEastAsia" w:hAnsiTheme="minorEastAsia" w:eastAsiaTheme="minorEastAsia"/>
          <w:szCs w:val="21"/>
          <w:highlight w:val="none"/>
        </w:rPr>
        <w:t>元，请划到以下账户：</w:t>
      </w:r>
    </w:p>
    <w:tbl>
      <w:tblPr>
        <w:tblStyle w:val="16"/>
        <w:tblW w:w="89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3675"/>
        <w:gridCol w:w="1440"/>
        <w:gridCol w:w="2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33" w:type="dxa"/>
            <w:tcBorders>
              <w:top w:val="single" w:color="auto" w:sz="12" w:space="0"/>
            </w:tcBorders>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收款单位名称（全称）</w:t>
            </w:r>
          </w:p>
        </w:tc>
        <w:tc>
          <w:tcPr>
            <w:tcW w:w="7210" w:type="dxa"/>
            <w:gridSpan w:val="3"/>
            <w:tcBorders>
              <w:top w:val="single" w:color="auto" w:sz="12" w:space="0"/>
            </w:tcBorders>
            <w:vAlign w:val="center"/>
          </w:tcPr>
          <w:p>
            <w:pPr>
              <w:adjustRightInd w:val="0"/>
              <w:snapToGrid w:val="0"/>
              <w:ind w:firstLine="440" w:firstLineChars="200"/>
              <w:rPr>
                <w:rFonts w:asciiTheme="minorEastAsia" w:hAnsiTheme="minorEastAsia" w:eastAsia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733" w:type="dxa"/>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收款单位地址</w:t>
            </w:r>
          </w:p>
        </w:tc>
        <w:tc>
          <w:tcPr>
            <w:tcW w:w="7210" w:type="dxa"/>
            <w:gridSpan w:val="3"/>
            <w:vAlign w:val="center"/>
          </w:tcPr>
          <w:p>
            <w:pPr>
              <w:adjustRightInd w:val="0"/>
              <w:snapToGrid w:val="0"/>
              <w:ind w:firstLine="440" w:firstLineChars="200"/>
              <w:rPr>
                <w:rFonts w:asciiTheme="minorEastAsia" w:hAnsiTheme="minorEastAsia" w:eastAsia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33" w:type="dxa"/>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开户银行（含汇入地点）</w:t>
            </w:r>
          </w:p>
        </w:tc>
        <w:tc>
          <w:tcPr>
            <w:tcW w:w="7210" w:type="dxa"/>
            <w:gridSpan w:val="3"/>
            <w:vAlign w:val="center"/>
          </w:tcPr>
          <w:p>
            <w:pPr>
              <w:adjustRightInd w:val="0"/>
              <w:snapToGrid w:val="0"/>
              <w:ind w:firstLine="44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省　　市（县）　　　银行　　　　支行（分理处）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账号</w:t>
            </w:r>
          </w:p>
        </w:tc>
        <w:tc>
          <w:tcPr>
            <w:tcW w:w="7210" w:type="dxa"/>
            <w:gridSpan w:val="3"/>
            <w:vAlign w:val="center"/>
          </w:tcPr>
          <w:p>
            <w:pPr>
              <w:adjustRightInd w:val="0"/>
              <w:snapToGrid w:val="0"/>
              <w:ind w:firstLine="440" w:firstLineChars="200"/>
              <w:rPr>
                <w:rFonts w:asciiTheme="minorEastAsia" w:hAnsiTheme="minorEastAsia" w:eastAsia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联系人</w:t>
            </w:r>
          </w:p>
        </w:tc>
        <w:tc>
          <w:tcPr>
            <w:tcW w:w="3675" w:type="dxa"/>
            <w:tcBorders>
              <w:right w:val="single" w:color="auto" w:sz="8" w:space="0"/>
            </w:tcBorders>
            <w:vAlign w:val="center"/>
          </w:tcPr>
          <w:p>
            <w:pPr>
              <w:adjustRightInd w:val="0"/>
              <w:snapToGrid w:val="0"/>
              <w:ind w:firstLine="440" w:firstLineChars="200"/>
              <w:rPr>
                <w:rFonts w:asciiTheme="minorEastAsia" w:hAnsiTheme="minorEastAsia" w:eastAsiaTheme="minorEastAsia"/>
                <w:szCs w:val="21"/>
                <w:highlight w:val="none"/>
              </w:rPr>
            </w:pPr>
          </w:p>
        </w:tc>
        <w:tc>
          <w:tcPr>
            <w:tcW w:w="1440" w:type="dxa"/>
            <w:tcBorders>
              <w:left w:val="single" w:color="auto" w:sz="8" w:space="0"/>
            </w:tcBorders>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手机号码</w:t>
            </w:r>
          </w:p>
        </w:tc>
        <w:tc>
          <w:tcPr>
            <w:tcW w:w="2095" w:type="dxa"/>
            <w:tcBorders>
              <w:left w:val="single" w:color="auto" w:sz="8" w:space="0"/>
            </w:tcBorders>
            <w:vAlign w:val="center"/>
          </w:tcPr>
          <w:p>
            <w:pPr>
              <w:adjustRightInd w:val="0"/>
              <w:snapToGrid w:val="0"/>
              <w:ind w:firstLine="440" w:firstLineChars="200"/>
              <w:rPr>
                <w:rFonts w:asciiTheme="minorEastAsia" w:hAnsiTheme="minorEastAsia" w:eastAsia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3" w:type="dxa"/>
            <w:gridSpan w:val="4"/>
            <w:vAlign w:val="center"/>
          </w:tcPr>
          <w:p>
            <w:pPr>
              <w:adjustRightInd w:val="0"/>
              <w:snapToGrid w:val="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请用“√”选择一种退回方式。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08" w:type="dxa"/>
            <w:gridSpan w:val="2"/>
            <w:tcBorders>
              <w:bottom w:val="single" w:color="auto" w:sz="12" w:space="0"/>
              <w:right w:val="single" w:color="auto" w:sz="8" w:space="0"/>
            </w:tcBorders>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□原路退回　</w:t>
            </w:r>
          </w:p>
        </w:tc>
        <w:tc>
          <w:tcPr>
            <w:tcW w:w="3535" w:type="dxa"/>
            <w:gridSpan w:val="2"/>
            <w:tcBorders>
              <w:left w:val="single" w:color="auto" w:sz="8" w:space="0"/>
              <w:bottom w:val="single" w:color="auto" w:sz="12" w:space="0"/>
            </w:tcBorders>
            <w:vAlign w:val="center"/>
          </w:tcPr>
          <w:p>
            <w:pPr>
              <w:adjustRightInd w:val="0"/>
              <w:snapToGrid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□非原路退回</w:t>
            </w:r>
          </w:p>
        </w:tc>
      </w:tr>
    </w:tbl>
    <w:p>
      <w:pPr>
        <w:spacing w:line="360" w:lineRule="auto"/>
        <w:ind w:firstLine="44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备注：</w:t>
      </w:r>
      <w:r>
        <w:rPr>
          <w:rFonts w:asciiTheme="minorEastAsia" w:hAnsiTheme="minorEastAsia" w:eastAsiaTheme="minorEastAsia"/>
          <w:szCs w:val="21"/>
          <w:highlight w:val="none"/>
        </w:rPr>
        <w:t>此表须附在开标小信封中</w:t>
      </w:r>
      <w:r>
        <w:rPr>
          <w:rFonts w:hint="eastAsia" w:asciiTheme="minorEastAsia" w:hAnsiTheme="minorEastAsia" w:eastAsiaTheme="minorEastAsia"/>
          <w:szCs w:val="21"/>
          <w:highlight w:val="none"/>
        </w:rPr>
        <w:t>。当投标人收到中标通知书或招标结果通知书，申请退还投标保证金时，</w:t>
      </w:r>
      <w:r>
        <w:rPr>
          <w:rFonts w:hint="eastAsia" w:cs="宋体" w:asciiTheme="minorEastAsia" w:hAnsiTheme="minorEastAsia" w:eastAsiaTheme="minorEastAsia"/>
          <w:szCs w:val="21"/>
          <w:highlight w:val="none"/>
          <w:lang w:eastAsia="zh-TW"/>
        </w:rPr>
        <w:t>招标代理机构</w:t>
      </w:r>
      <w:r>
        <w:rPr>
          <w:rFonts w:hint="eastAsia" w:asciiTheme="minorEastAsia" w:hAnsiTheme="minorEastAsia" w:eastAsiaTheme="minorEastAsia"/>
          <w:szCs w:val="21"/>
          <w:highlight w:val="none"/>
        </w:rPr>
        <w:t>按其提供的“退投标保证金说明”，按规定退还投标人的投标保证金。</w:t>
      </w:r>
    </w:p>
    <w:p>
      <w:pPr>
        <w:ind w:firstLine="440" w:firstLineChars="200"/>
        <w:rPr>
          <w:rFonts w:asciiTheme="minorEastAsia" w:hAnsiTheme="minorEastAsia" w:eastAsiaTheme="minorEastAsia"/>
          <w:highlight w:val="none"/>
          <w:u w:val="dash"/>
        </w:rPr>
      </w:pPr>
    </w:p>
    <w:p>
      <w:pPr>
        <w:spacing w:line="336" w:lineRule="auto"/>
        <w:ind w:firstLine="440" w:firstLineChars="200"/>
        <w:rPr>
          <w:rFonts w:asciiTheme="minorEastAsia" w:hAnsiTheme="minorEastAsia" w:eastAsiaTheme="minorEastAsia"/>
          <w:highlight w:val="none"/>
        </w:rPr>
      </w:pPr>
      <w:r>
        <w:rPr>
          <w:rFonts w:hint="eastAsia" w:asciiTheme="minorEastAsia" w:hAnsiTheme="minorEastAsia" w:eastAsiaTheme="minorEastAsia"/>
          <w:highlight w:val="none"/>
        </w:rPr>
        <w:t>为及时退还投标人的投标保证金，若存在以下二种情形的，则按以下规定执行：</w:t>
      </w:r>
    </w:p>
    <w:p>
      <w:pPr>
        <w:pStyle w:val="32"/>
        <w:numPr>
          <w:ilvl w:val="0"/>
          <w:numId w:val="4"/>
        </w:numPr>
        <w:spacing w:line="336" w:lineRule="auto"/>
        <w:ind w:left="0" w:firstLine="420"/>
        <w:rPr>
          <w:rFonts w:asciiTheme="minorEastAsia" w:hAnsiTheme="minorEastAsia" w:eastAsiaTheme="minorEastAsia"/>
          <w:highlight w:val="none"/>
        </w:rPr>
      </w:pPr>
      <w:r>
        <w:rPr>
          <w:rFonts w:hint="eastAsia" w:asciiTheme="minorEastAsia" w:hAnsiTheme="minorEastAsia" w:eastAsiaTheme="minorEastAsia"/>
          <w:highlight w:val="none"/>
        </w:rPr>
        <w:t>单位名称变更</w:t>
      </w:r>
    </w:p>
    <w:p>
      <w:pPr>
        <w:pStyle w:val="32"/>
        <w:spacing w:line="336" w:lineRule="auto"/>
        <w:rPr>
          <w:rFonts w:asciiTheme="minorEastAsia" w:hAnsiTheme="minorEastAsia" w:eastAsiaTheme="minorEastAsia"/>
          <w:highlight w:val="none"/>
        </w:rPr>
      </w:pPr>
      <w:r>
        <w:rPr>
          <w:rFonts w:hint="eastAsia" w:asciiTheme="minorEastAsia" w:hAnsiTheme="minorEastAsia" w:eastAsiaTheme="minorEastAsia"/>
          <w:highlight w:val="none"/>
        </w:rPr>
        <w:t>A. 若投标人投标后，其单位名称变更，退还其投标保证金时，除提交</w:t>
      </w:r>
      <w:r>
        <w:rPr>
          <w:rFonts w:hint="eastAsia" w:asciiTheme="minorEastAsia" w:hAnsiTheme="minorEastAsia" w:eastAsiaTheme="minorEastAsia"/>
          <w:b/>
          <w:highlight w:val="none"/>
          <w:u w:val="thick"/>
        </w:rPr>
        <w:t>变更后的账户信息</w:t>
      </w:r>
      <w:r>
        <w:rPr>
          <w:rFonts w:hint="eastAsia" w:asciiTheme="minorEastAsia" w:hAnsiTheme="minorEastAsia" w:eastAsiaTheme="minorEastAsia"/>
          <w:highlight w:val="none"/>
        </w:rPr>
        <w:t>外，还需附</w:t>
      </w:r>
      <w:r>
        <w:rPr>
          <w:rFonts w:hint="eastAsia" w:asciiTheme="minorEastAsia" w:hAnsiTheme="minorEastAsia" w:eastAsiaTheme="minorEastAsia"/>
          <w:b/>
          <w:highlight w:val="none"/>
          <w:u w:val="thick"/>
        </w:rPr>
        <w:t>工商部门打印的变更信息说明</w:t>
      </w:r>
      <w:r>
        <w:rPr>
          <w:rFonts w:hint="eastAsia" w:asciiTheme="minorEastAsia" w:hAnsiTheme="minorEastAsia" w:eastAsiaTheme="minorEastAsia"/>
          <w:highlight w:val="none"/>
        </w:rPr>
        <w:t>，并加盖</w:t>
      </w:r>
      <w:r>
        <w:rPr>
          <w:rFonts w:hint="eastAsia" w:asciiTheme="minorEastAsia" w:hAnsiTheme="minorEastAsia" w:eastAsiaTheme="minorEastAsia"/>
          <w:b/>
          <w:highlight w:val="none"/>
          <w:u w:val="thick"/>
        </w:rPr>
        <w:t>单位公章</w:t>
      </w:r>
      <w:r>
        <w:rPr>
          <w:rFonts w:hint="eastAsia" w:asciiTheme="minorEastAsia" w:hAnsiTheme="minorEastAsia" w:eastAsiaTheme="minorEastAsia"/>
          <w:highlight w:val="none"/>
        </w:rPr>
        <w:t>；</w:t>
      </w:r>
    </w:p>
    <w:p>
      <w:pPr>
        <w:pStyle w:val="32"/>
        <w:spacing w:line="336" w:lineRule="auto"/>
        <w:rPr>
          <w:rFonts w:asciiTheme="minorEastAsia" w:hAnsiTheme="minorEastAsia" w:eastAsiaTheme="minorEastAsia"/>
          <w:b/>
          <w:highlight w:val="none"/>
        </w:rPr>
      </w:pPr>
      <w:r>
        <w:rPr>
          <w:rFonts w:hint="eastAsia" w:asciiTheme="minorEastAsia" w:hAnsiTheme="minorEastAsia" w:eastAsiaTheme="minorEastAsia"/>
          <w:highlight w:val="none"/>
        </w:rPr>
        <w:t>B. 若投标人只变更营业执照信息，没有及时变更银行账户的，只需提供</w:t>
      </w:r>
      <w:r>
        <w:rPr>
          <w:rFonts w:hint="eastAsia" w:asciiTheme="minorEastAsia" w:hAnsiTheme="minorEastAsia" w:eastAsiaTheme="minorEastAsia"/>
          <w:b/>
          <w:highlight w:val="none"/>
          <w:u w:val="thick"/>
        </w:rPr>
        <w:t>银行开户许可证复印件</w:t>
      </w:r>
      <w:r>
        <w:rPr>
          <w:rFonts w:hint="eastAsia" w:asciiTheme="minorEastAsia" w:hAnsiTheme="minorEastAsia" w:eastAsiaTheme="minorEastAsia"/>
          <w:highlight w:val="none"/>
        </w:rPr>
        <w:t>，并加盖</w:t>
      </w:r>
      <w:r>
        <w:rPr>
          <w:rFonts w:hint="eastAsia" w:asciiTheme="minorEastAsia" w:hAnsiTheme="minorEastAsia" w:eastAsiaTheme="minorEastAsia"/>
          <w:b/>
          <w:highlight w:val="none"/>
          <w:u w:val="thick"/>
        </w:rPr>
        <w:t>单位公章</w:t>
      </w:r>
      <w:r>
        <w:rPr>
          <w:rFonts w:hint="eastAsia" w:asciiTheme="minorEastAsia" w:hAnsiTheme="minorEastAsia" w:eastAsiaTheme="minorEastAsia"/>
          <w:b/>
          <w:highlight w:val="none"/>
        </w:rPr>
        <w:t>。</w:t>
      </w:r>
    </w:p>
    <w:p>
      <w:pPr>
        <w:pStyle w:val="32"/>
        <w:numPr>
          <w:ilvl w:val="0"/>
          <w:numId w:val="4"/>
        </w:numPr>
        <w:spacing w:line="336" w:lineRule="auto"/>
        <w:ind w:left="0" w:firstLine="420"/>
        <w:rPr>
          <w:rFonts w:asciiTheme="minorEastAsia" w:hAnsiTheme="minorEastAsia" w:eastAsiaTheme="minorEastAsia"/>
          <w:highlight w:val="none"/>
        </w:rPr>
      </w:pPr>
      <w:r>
        <w:rPr>
          <w:rFonts w:hint="eastAsia" w:asciiTheme="minorEastAsia" w:hAnsiTheme="minorEastAsia" w:eastAsiaTheme="minorEastAsia"/>
          <w:highlight w:val="none"/>
        </w:rPr>
        <w:t>标前确定不参加投标</w:t>
      </w:r>
    </w:p>
    <w:p>
      <w:pPr>
        <w:spacing w:line="336" w:lineRule="auto"/>
        <w:ind w:firstLine="440" w:firstLineChars="200"/>
        <w:rPr>
          <w:rFonts w:asciiTheme="minorEastAsia" w:hAnsiTheme="minorEastAsia" w:eastAsiaTheme="minorEastAsia"/>
          <w:highlight w:val="none"/>
        </w:rPr>
      </w:pPr>
      <w:r>
        <w:rPr>
          <w:rFonts w:asciiTheme="minorEastAsia" w:hAnsiTheme="minorEastAsia" w:eastAsiaTheme="minorEastAsia"/>
          <w:highlight w:val="none"/>
        </w:rPr>
        <w:t>若投标人已汇入投标保证金，但不参加投标时，请务必在项目开标前将该《退投标保证金说明》按规定填写完整盖章后扫描发至</w:t>
      </w:r>
      <w:r>
        <w:rPr>
          <w:highlight w:val="none"/>
        </w:rPr>
        <w:fldChar w:fldCharType="begin"/>
      </w:r>
      <w:r>
        <w:rPr>
          <w:highlight w:val="none"/>
        </w:rPr>
        <w:instrText xml:space="preserve"> HYPERLINK "mailto:zfcg@zhenghonggd.com" </w:instrText>
      </w:r>
      <w:r>
        <w:rPr>
          <w:highlight w:val="none"/>
        </w:rPr>
        <w:fldChar w:fldCharType="separate"/>
      </w:r>
      <w:r>
        <w:rPr>
          <w:rStyle w:val="19"/>
          <w:rFonts w:hint="eastAsia" w:asciiTheme="minorEastAsia" w:hAnsiTheme="minorEastAsia" w:eastAsiaTheme="minorEastAsia"/>
          <w:color w:val="auto"/>
          <w:highlight w:val="none"/>
          <w:u w:val="none"/>
          <w:lang w:val="en-US" w:eastAsia="zh-CN"/>
        </w:rPr>
        <w:t>23814171@qq</w:t>
      </w:r>
      <w:r>
        <w:rPr>
          <w:rStyle w:val="19"/>
          <w:rFonts w:asciiTheme="minorEastAsia" w:hAnsiTheme="minorEastAsia" w:eastAsiaTheme="minorEastAsia"/>
          <w:color w:val="auto"/>
          <w:highlight w:val="none"/>
          <w:u w:val="none"/>
        </w:rPr>
        <w:t>.com</w:t>
      </w:r>
      <w:r>
        <w:rPr>
          <w:rStyle w:val="19"/>
          <w:rFonts w:asciiTheme="minorEastAsia" w:hAnsiTheme="minorEastAsia" w:eastAsiaTheme="minorEastAsia"/>
          <w:color w:val="auto"/>
          <w:highlight w:val="none"/>
          <w:u w:val="none"/>
        </w:rPr>
        <w:fldChar w:fldCharType="end"/>
      </w:r>
      <w:r>
        <w:rPr>
          <w:rFonts w:hint="eastAsia" w:asciiTheme="minorEastAsia" w:hAnsiTheme="minorEastAsia" w:eastAsiaTheme="minorEastAsia"/>
          <w:highlight w:val="none"/>
        </w:rPr>
        <w:t>。</w:t>
      </w:r>
    </w:p>
    <w:p>
      <w:pPr>
        <w:spacing w:line="336" w:lineRule="auto"/>
        <w:ind w:firstLine="440" w:firstLineChars="200"/>
        <w:rPr>
          <w:rFonts w:asciiTheme="minorEastAsia" w:hAnsiTheme="minorEastAsia" w:eastAsiaTheme="minorEastAsia"/>
          <w:highlight w:val="none"/>
        </w:rPr>
      </w:pPr>
      <w:r>
        <w:rPr>
          <w:rFonts w:hint="eastAsia" w:asciiTheme="minorEastAsia" w:hAnsiTheme="minorEastAsia" w:eastAsiaTheme="minorEastAsia"/>
          <w:highlight w:val="none"/>
        </w:rPr>
        <w:t>投标人名称（单位盖公章）：</w:t>
      </w:r>
    </w:p>
    <w:p>
      <w:pPr>
        <w:spacing w:line="336" w:lineRule="auto"/>
        <w:ind w:firstLine="440" w:firstLineChars="200"/>
        <w:rPr>
          <w:rFonts w:asciiTheme="minorEastAsia" w:hAnsiTheme="minorEastAsia" w:eastAsiaTheme="minorEastAsia"/>
          <w:highlight w:val="none"/>
        </w:rPr>
      </w:pPr>
      <w:r>
        <w:rPr>
          <w:rFonts w:asciiTheme="minorEastAsia" w:hAnsiTheme="minorEastAsia" w:eastAsiaTheme="minorEastAsia"/>
          <w:highlight w:val="none"/>
        </w:rPr>
        <w:t>日期：</w:t>
      </w:r>
      <w:r>
        <w:rPr>
          <w:rFonts w:hint="eastAsia" w:asciiTheme="minorEastAsia" w:hAnsiTheme="minorEastAsia" w:eastAsiaTheme="minorEastAsia"/>
          <w:highlight w:val="none"/>
        </w:rPr>
        <w:t xml:space="preserve">  年  月  日</w:t>
      </w:r>
    </w:p>
    <w:p>
      <w:pPr>
        <w:pStyle w:val="11"/>
        <w:spacing w:line="360" w:lineRule="auto"/>
        <w:ind w:firstLine="480" w:firstLineChars="200"/>
        <w:rPr>
          <w:rFonts w:asciiTheme="minorEastAsia" w:hAnsiTheme="minorEastAsia" w:eastAsiaTheme="minorEastAsia"/>
          <w:sz w:val="24"/>
          <w:szCs w:val="24"/>
          <w:highlight w:val="none"/>
        </w:rPr>
      </w:pPr>
    </w:p>
    <w:p>
      <w:pPr>
        <w:pStyle w:val="20"/>
        <w:spacing w:line="360" w:lineRule="auto"/>
        <w:ind w:left="0" w:leftChars="0" w:firstLine="480" w:firstLineChars="200"/>
        <w:rPr>
          <w:rFonts w:hint="eastAsia"/>
          <w:sz w:val="24"/>
          <w:highlight w:val="none"/>
          <w:lang w:val="zh-CN" w:eastAsia="zh-CN"/>
        </w:rPr>
        <w:sectPr>
          <w:pgSz w:w="11910" w:h="16850"/>
          <w:pgMar w:top="1440" w:right="1080" w:bottom="1440" w:left="1080" w:header="0" w:footer="735" w:gutter="0"/>
          <w:cols w:space="720" w:num="1"/>
        </w:sectPr>
      </w:pPr>
    </w:p>
    <w:p>
      <w:pPr>
        <w:pStyle w:val="20"/>
        <w:spacing w:line="360" w:lineRule="auto"/>
        <w:ind w:left="0" w:leftChars="0" w:firstLine="480" w:firstLineChars="200"/>
        <w:rPr>
          <w:rFonts w:hint="eastAsia"/>
          <w:sz w:val="24"/>
          <w:highlight w:val="none"/>
          <w:lang w:val="zh-CN" w:eastAsia="zh-CN"/>
        </w:rPr>
      </w:pPr>
    </w:p>
    <w:p>
      <w:pPr>
        <w:numPr>
          <w:ilvl w:val="0"/>
          <w:numId w:val="5"/>
        </w:numPr>
        <w:spacing w:before="41"/>
        <w:ind w:left="651" w:right="0" w:firstLine="482" w:firstLineChars="200"/>
        <w:jc w:val="left"/>
        <w:outlineLvl w:val="0"/>
        <w:rPr>
          <w:b/>
          <w:w w:val="99"/>
          <w:sz w:val="24"/>
          <w:highlight w:val="none"/>
        </w:rPr>
      </w:pPr>
      <w:bookmarkStart w:id="13" w:name="_Toc21983"/>
      <w:r>
        <w:rPr>
          <w:b/>
          <w:sz w:val="24"/>
          <w:highlight w:val="none"/>
        </w:rPr>
        <w:t>小额维修工程合同</w:t>
      </w:r>
      <w:bookmarkEnd w:id="13"/>
      <w:r>
        <w:rPr>
          <w:b/>
          <w:w w:val="99"/>
          <w:sz w:val="24"/>
          <w:highlight w:val="none"/>
        </w:rPr>
        <w:t xml:space="preserve"> </w:t>
      </w:r>
    </w:p>
    <w:p>
      <w:pPr>
        <w:pStyle w:val="20"/>
        <w:widowControl w:val="0"/>
        <w:numPr>
          <w:ilvl w:val="0"/>
          <w:numId w:val="0"/>
        </w:numPr>
        <w:autoSpaceDE w:val="0"/>
        <w:autoSpaceDN w:val="0"/>
        <w:spacing w:before="0" w:after="0" w:line="240" w:lineRule="auto"/>
        <w:ind w:right="0" w:rightChars="0"/>
        <w:jc w:val="left"/>
        <w:rPr>
          <w:highlight w:val="none"/>
        </w:rPr>
      </w:pPr>
    </w:p>
    <w:p>
      <w:pPr>
        <w:pStyle w:val="20"/>
        <w:widowControl w:val="0"/>
        <w:numPr>
          <w:ilvl w:val="0"/>
          <w:numId w:val="0"/>
        </w:numPr>
        <w:autoSpaceDE w:val="0"/>
        <w:autoSpaceDN w:val="0"/>
        <w:spacing w:before="0" w:after="0" w:line="240" w:lineRule="auto"/>
        <w:ind w:right="0" w:rightChars="0"/>
        <w:jc w:val="left"/>
        <w:rPr>
          <w:highlight w:val="none"/>
        </w:rPr>
      </w:pPr>
    </w:p>
    <w:p>
      <w:pPr>
        <w:pStyle w:val="20"/>
        <w:widowControl w:val="0"/>
        <w:numPr>
          <w:ilvl w:val="0"/>
          <w:numId w:val="0"/>
        </w:numPr>
        <w:autoSpaceDE w:val="0"/>
        <w:autoSpaceDN w:val="0"/>
        <w:spacing w:before="0" w:after="0" w:line="240" w:lineRule="auto"/>
        <w:ind w:right="0" w:rightChars="0"/>
        <w:jc w:val="left"/>
        <w:rPr>
          <w:highlight w:val="none"/>
        </w:rPr>
      </w:pPr>
    </w:p>
    <w:p>
      <w:pPr>
        <w:pStyle w:val="20"/>
        <w:widowControl w:val="0"/>
        <w:numPr>
          <w:ilvl w:val="0"/>
          <w:numId w:val="0"/>
        </w:numPr>
        <w:autoSpaceDE w:val="0"/>
        <w:autoSpaceDN w:val="0"/>
        <w:spacing w:before="0" w:after="0" w:line="240" w:lineRule="auto"/>
        <w:ind w:right="0" w:rightChars="0"/>
        <w:jc w:val="left"/>
        <w:rPr>
          <w:highlight w:val="none"/>
        </w:rPr>
      </w:pPr>
    </w:p>
    <w:p>
      <w:pPr>
        <w:pStyle w:val="20"/>
        <w:widowControl w:val="0"/>
        <w:numPr>
          <w:ilvl w:val="0"/>
          <w:numId w:val="0"/>
        </w:numPr>
        <w:autoSpaceDE w:val="0"/>
        <w:autoSpaceDN w:val="0"/>
        <w:spacing w:before="0" w:after="0" w:line="240" w:lineRule="auto"/>
        <w:ind w:right="0" w:rightChars="0"/>
        <w:jc w:val="left"/>
        <w:rPr>
          <w:highlight w:val="none"/>
        </w:rPr>
      </w:pPr>
    </w:p>
    <w:p>
      <w:pPr>
        <w:spacing w:line="580" w:lineRule="exact"/>
        <w:jc w:val="center"/>
        <w:outlineLvl w:val="1"/>
        <w:rPr>
          <w:rFonts w:ascii="宋体" w:hAnsi="宋体" w:cs="宋体"/>
          <w:bCs/>
          <w:spacing w:val="26"/>
          <w:sz w:val="52"/>
          <w:szCs w:val="52"/>
          <w:highlight w:val="none"/>
          <w:u w:val="single"/>
        </w:rPr>
      </w:pPr>
      <w:r>
        <w:rPr>
          <w:rFonts w:hint="eastAsia" w:ascii="宋体" w:hAnsi="宋体" w:cs="宋体"/>
          <w:bCs/>
          <w:spacing w:val="26"/>
          <w:sz w:val="52"/>
          <w:szCs w:val="52"/>
          <w:highlight w:val="none"/>
          <w:u w:val="single"/>
        </w:rPr>
        <w:t>小额维修工程合同</w:t>
      </w: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宋体" w:hAnsi="宋体" w:cs="宋体"/>
          <w:highlight w:val="none"/>
        </w:rPr>
      </w:pPr>
    </w:p>
    <w:p>
      <w:pPr>
        <w:spacing w:line="580" w:lineRule="exact"/>
        <w:rPr>
          <w:rFonts w:ascii="仿宋_GB2312" w:hAnsi="宋体" w:eastAsia="仿宋_GB2312" w:cs="宋体"/>
          <w:sz w:val="32"/>
          <w:szCs w:val="32"/>
          <w:highlight w:val="none"/>
          <w:u w:val="single"/>
        </w:rPr>
      </w:pPr>
      <w:r>
        <w:rPr>
          <w:rFonts w:hint="eastAsia" w:ascii="仿宋_GB2312" w:hAnsi="宋体" w:eastAsia="仿宋_GB2312" w:cs="宋体"/>
          <w:sz w:val="32"/>
          <w:szCs w:val="32"/>
          <w:highlight w:val="none"/>
        </w:rPr>
        <w:t>合  同  编  号：</w:t>
      </w:r>
      <w:r>
        <w:rPr>
          <w:rFonts w:hint="eastAsia" w:ascii="仿宋_GB2312" w:hAnsi="宋体" w:eastAsia="仿宋_GB2312" w:cs="宋体"/>
          <w:sz w:val="32"/>
          <w:szCs w:val="32"/>
          <w:highlight w:val="none"/>
          <w:u w:val="single"/>
        </w:rPr>
        <w:t xml:space="preserve">                                 </w:t>
      </w:r>
    </w:p>
    <w:p>
      <w:pPr>
        <w:spacing w:line="580" w:lineRule="exact"/>
        <w:ind w:left="2560" w:hanging="2560" w:hangingChars="8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项  目  名  称：</w:t>
      </w:r>
      <w:r>
        <w:rPr>
          <w:rFonts w:hint="eastAsia" w:ascii="仿宋_GB2312" w:hAnsi="宋体" w:eastAsia="仿宋_GB2312" w:cs="宋体"/>
          <w:sz w:val="32"/>
          <w:szCs w:val="32"/>
          <w:highlight w:val="none"/>
          <w:u w:val="single"/>
          <w:lang w:val="en-US" w:eastAsia="zh-CN"/>
        </w:rPr>
        <w:t xml:space="preserve"> </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u w:val="single"/>
          <w:lang w:val="en-US" w:eastAsia="zh-CN"/>
        </w:rPr>
        <w:t xml:space="preserve">      </w:t>
      </w:r>
      <w:r>
        <w:rPr>
          <w:rFonts w:hint="eastAsia" w:ascii="仿宋_GB2312" w:hAnsi="宋体" w:eastAsia="仿宋_GB2312" w:cs="宋体"/>
          <w:sz w:val="32"/>
          <w:szCs w:val="32"/>
          <w:highlight w:val="none"/>
          <w:u w:val="single"/>
        </w:rPr>
        <w:t xml:space="preserve">     </w:t>
      </w:r>
    </w:p>
    <w:p>
      <w:pPr>
        <w:spacing w:line="580" w:lineRule="exact"/>
        <w:rPr>
          <w:rFonts w:ascii="仿宋_GB2312" w:hAnsi="宋体" w:eastAsia="仿宋_GB2312" w:cs="宋体"/>
          <w:sz w:val="32"/>
          <w:szCs w:val="32"/>
          <w:highlight w:val="none"/>
          <w:u w:val="single"/>
        </w:rPr>
      </w:pPr>
      <w:r>
        <w:rPr>
          <w:rFonts w:hint="eastAsia" w:ascii="仿宋_GB2312" w:hAnsi="宋体" w:eastAsia="仿宋_GB2312" w:cs="宋体"/>
          <w:sz w:val="32"/>
          <w:szCs w:val="32"/>
          <w:highlight w:val="none"/>
        </w:rPr>
        <w:t>甲          方：</w:t>
      </w:r>
      <w:r>
        <w:rPr>
          <w:rFonts w:hint="eastAsia" w:ascii="仿宋_GB2312" w:hAnsi="宋体" w:eastAsia="仿宋_GB2312" w:cs="宋体"/>
          <w:sz w:val="32"/>
          <w:szCs w:val="32"/>
          <w:highlight w:val="none"/>
          <w:u w:val="single"/>
        </w:rPr>
        <w:t xml:space="preserve">广州市城壹物业发展有限公司        </w:t>
      </w:r>
    </w:p>
    <w:p>
      <w:pPr>
        <w:spacing w:line="580" w:lineRule="exac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乙          方：</w:t>
      </w:r>
      <w:r>
        <w:rPr>
          <w:rFonts w:hint="eastAsia" w:ascii="仿宋_GB2312" w:hAnsi="宋体" w:eastAsia="仿宋_GB2312" w:cs="宋体"/>
          <w:sz w:val="32"/>
          <w:szCs w:val="32"/>
          <w:highlight w:val="none"/>
          <w:u w:val="single"/>
        </w:rPr>
        <w:t xml:space="preserve">                                  </w:t>
      </w:r>
    </w:p>
    <w:p>
      <w:pPr>
        <w:spacing w:line="580" w:lineRule="exac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签  订  时  间：</w:t>
      </w:r>
      <w:r>
        <w:rPr>
          <w:rFonts w:hint="eastAsia" w:ascii="仿宋_GB2312" w:hAnsi="宋体" w:eastAsia="仿宋_GB2312" w:cs="宋体"/>
          <w:sz w:val="32"/>
          <w:szCs w:val="32"/>
          <w:highlight w:val="none"/>
          <w:u w:val="single"/>
        </w:rPr>
        <w:t xml:space="preserve">                                  </w:t>
      </w:r>
    </w:p>
    <w:p>
      <w:pPr>
        <w:spacing w:line="580" w:lineRule="exac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签  订  地  点：</w:t>
      </w:r>
      <w:r>
        <w:rPr>
          <w:rFonts w:hint="eastAsia" w:ascii="仿宋_GB2312" w:hAnsi="宋体" w:eastAsia="仿宋_GB2312" w:cs="宋体"/>
          <w:sz w:val="32"/>
          <w:szCs w:val="32"/>
          <w:highlight w:val="none"/>
          <w:u w:val="single"/>
        </w:rPr>
        <w:t xml:space="preserve">                                  </w:t>
      </w:r>
    </w:p>
    <w:p>
      <w:pPr>
        <w:pStyle w:val="20"/>
        <w:spacing w:line="360" w:lineRule="auto"/>
        <w:ind w:left="0" w:leftChars="0" w:firstLine="476" w:firstLineChars="200"/>
        <w:rPr>
          <w:sz w:val="24"/>
          <w:highlight w:val="none"/>
        </w:rPr>
      </w:pPr>
      <w:r>
        <w:rPr>
          <w:spacing w:val="-1"/>
          <w:sz w:val="24"/>
          <w:highlight w:val="none"/>
        </w:rPr>
        <w:t xml:space="preserve">     </w:t>
      </w:r>
      <w:r>
        <w:rPr>
          <w:spacing w:val="2"/>
          <w:sz w:val="24"/>
          <w:highlight w:val="none"/>
        </w:rPr>
        <w:t xml:space="preserve"> </w:t>
      </w:r>
      <w:r>
        <w:rPr>
          <w:sz w:val="24"/>
          <w:highlight w:val="none"/>
        </w:rPr>
        <w:t xml:space="preserve"> </w:t>
      </w:r>
    </w:p>
    <w:p>
      <w:pPr>
        <w:spacing w:after="0" w:line="362" w:lineRule="auto"/>
        <w:ind w:firstLine="0" w:firstLineChars="0"/>
        <w:jc w:val="left"/>
        <w:rPr>
          <w:sz w:val="24"/>
          <w:highlight w:val="none"/>
        </w:rPr>
        <w:sectPr>
          <w:pgSz w:w="11910" w:h="16850"/>
          <w:pgMar w:top="1440" w:right="1080" w:bottom="1440" w:left="1080" w:header="0" w:footer="735" w:gutter="0"/>
          <w:cols w:space="720" w:num="1"/>
        </w:sectPr>
      </w:pPr>
    </w:p>
    <w:p>
      <w:pPr>
        <w:spacing w:line="580" w:lineRule="exact"/>
        <w:jc w:val="center"/>
        <w:rPr>
          <w:rFonts w:ascii="方正小标宋简体" w:hAnsi="宋体" w:eastAsia="方正小标宋简体" w:cs="宋体"/>
          <w:bCs/>
          <w:sz w:val="44"/>
          <w:szCs w:val="44"/>
          <w:highlight w:val="none"/>
        </w:rPr>
      </w:pPr>
      <w:r>
        <w:rPr>
          <w:rFonts w:hint="eastAsia" w:ascii="宋体" w:hAnsi="宋体" w:eastAsia="宋体" w:cs="宋体"/>
          <w:bCs/>
          <w:sz w:val="44"/>
          <w:szCs w:val="44"/>
          <w:highlight w:val="none"/>
        </w:rPr>
        <w:t>小额维修工程合同</w:t>
      </w:r>
    </w:p>
    <w:p>
      <w:pPr>
        <w:spacing w:line="580" w:lineRule="exact"/>
        <w:rPr>
          <w:rFonts w:ascii="宋体" w:hAnsi="宋体" w:cs="宋体"/>
          <w:szCs w:val="21"/>
          <w:highlight w:val="none"/>
        </w:rPr>
      </w:pPr>
    </w:p>
    <w:p>
      <w:pPr>
        <w:spacing w:line="58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甲方：</w:t>
      </w:r>
      <w:r>
        <w:rPr>
          <w:rFonts w:hint="eastAsia" w:ascii="仿宋_GB2312" w:hAnsi="宋体" w:eastAsia="仿宋_GB2312" w:cs="宋体"/>
          <w:sz w:val="32"/>
          <w:szCs w:val="32"/>
          <w:highlight w:val="none"/>
          <w:u w:val="single"/>
          <w:lang w:val="zh-CN"/>
        </w:rPr>
        <w:t>广州市城壹物业发展有限公司</w:t>
      </w:r>
    </w:p>
    <w:p>
      <w:pPr>
        <w:spacing w:line="580" w:lineRule="exact"/>
        <w:jc w:val="both"/>
        <w:rPr>
          <w:rFonts w:ascii="仿宋_GB2312" w:hAnsi="宋体" w:eastAsia="仿宋_GB2312" w:cs="宋体"/>
          <w:sz w:val="32"/>
          <w:szCs w:val="32"/>
          <w:highlight w:val="none"/>
          <w:u w:val="single"/>
        </w:rPr>
      </w:pPr>
      <w:r>
        <w:rPr>
          <w:rFonts w:hint="eastAsia" w:ascii="仿宋_GB2312" w:hAnsi="宋体" w:eastAsia="仿宋_GB2312" w:cs="宋体"/>
          <w:sz w:val="32"/>
          <w:szCs w:val="32"/>
          <w:highlight w:val="none"/>
        </w:rPr>
        <w:t>乙方：</w:t>
      </w:r>
      <w:r>
        <w:rPr>
          <w:rFonts w:hint="eastAsia" w:ascii="仿宋_GB2312" w:hAnsi="宋体" w:eastAsia="仿宋_GB2312" w:cs="宋体"/>
          <w:sz w:val="32"/>
          <w:szCs w:val="32"/>
          <w:highlight w:val="none"/>
          <w:u w:val="single"/>
        </w:rPr>
        <w:t xml:space="preserve">                          </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根据《中华人民共和国民法典》、《中华人民共和国招标投标法》的有关规定及</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年</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月</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日</w:t>
      </w:r>
      <w:r>
        <w:rPr>
          <w:rFonts w:hint="eastAsia" w:ascii="仿宋_GB2312" w:hAnsi="宋体" w:eastAsia="仿宋_GB2312" w:cs="宋体"/>
          <w:sz w:val="32"/>
          <w:szCs w:val="32"/>
          <w:highlight w:val="none"/>
          <w:u w:val="single"/>
        </w:rPr>
        <w:t xml:space="preserve"> </w:t>
      </w:r>
      <w:r>
        <w:rPr>
          <w:rFonts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，经甲、乙双方协商一致达成本合同，并共同遵守。</w:t>
      </w:r>
    </w:p>
    <w:p>
      <w:pPr>
        <w:kinsoku w:val="0"/>
        <w:overflowPunct w:val="0"/>
        <w:autoSpaceDE w:val="0"/>
        <w:autoSpaceDN w:val="0"/>
        <w:adjustRightInd w:val="0"/>
        <w:snapToGrid w:val="0"/>
        <w:spacing w:line="580" w:lineRule="exact"/>
        <w:ind w:firstLine="640" w:firstLineChars="200"/>
        <w:rPr>
          <w:rFonts w:ascii="黑体" w:hAnsi="黑体" w:eastAsia="黑体" w:cs="宋体"/>
          <w:bCs/>
          <w:sz w:val="32"/>
          <w:szCs w:val="32"/>
          <w:highlight w:val="none"/>
        </w:rPr>
      </w:pPr>
      <w:r>
        <w:rPr>
          <w:rFonts w:hint="eastAsia" w:ascii="黑体" w:hAnsi="黑体" w:eastAsia="黑体" w:cs="宋体"/>
          <w:bCs/>
          <w:sz w:val="32"/>
          <w:szCs w:val="32"/>
          <w:highlight w:val="none"/>
        </w:rPr>
        <w:t>一、双方确认的工程概况</w:t>
      </w:r>
    </w:p>
    <w:p>
      <w:pPr>
        <w:kinsoku w:val="0"/>
        <w:overflowPunct w:val="0"/>
        <w:autoSpaceDE w:val="0"/>
        <w:autoSpaceDN w:val="0"/>
        <w:adjustRightInd w:val="0"/>
        <w:snapToGrid w:val="0"/>
        <w:spacing w:line="580" w:lineRule="exact"/>
        <w:ind w:firstLine="640" w:firstLineChars="200"/>
        <w:jc w:val="both"/>
        <w:rPr>
          <w:rFonts w:ascii="黑体" w:hAnsi="黑体" w:eastAsia="黑体" w:cs="宋体"/>
          <w:b/>
          <w:bCs/>
          <w:sz w:val="32"/>
          <w:szCs w:val="32"/>
          <w:highlight w:val="none"/>
        </w:rPr>
      </w:pPr>
      <w:r>
        <w:rPr>
          <w:rFonts w:hint="eastAsia" w:ascii="仿宋_GB2312" w:hAnsi="宋体" w:eastAsia="仿宋_GB2312" w:cs="宋体"/>
          <w:sz w:val="32"/>
          <w:szCs w:val="32"/>
          <w:highlight w:val="none"/>
        </w:rPr>
        <w:t>1.项目名称：</w:t>
      </w:r>
      <w:r>
        <w:rPr>
          <w:rFonts w:hint="eastAsia" w:ascii="仿宋_GB2312" w:hAnsi="宋体" w:eastAsia="仿宋_GB2312" w:cs="宋体"/>
          <w:sz w:val="32"/>
          <w:szCs w:val="32"/>
          <w:highlight w:val="none"/>
          <w:u w:val="single"/>
          <w:lang w:val="en-US" w:eastAsia="zh-CN"/>
        </w:rPr>
        <w:t xml:space="preserve">                          </w:t>
      </w:r>
      <w:r>
        <w:rPr>
          <w:rFonts w:hint="eastAsia" w:ascii="仿宋_GB2312" w:hAnsi="宋体" w:eastAsia="仿宋_GB2312" w:cs="宋体"/>
          <w:sz w:val="32"/>
          <w:szCs w:val="32"/>
          <w:highlight w:val="none"/>
        </w:rPr>
        <w:t>。</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 xml:space="preserve">2.项目范围：由甲方指定的房屋及设施范围内的维修，包括但不限于水电改造、管道疏通、房屋修补，具体以接到甲方通知或者确认为准。 </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3.项目管理：由甲方负责对维修工程实行全面管理，乙方应按照投标文件的承诺接受甲方分配的工作，指派驻场的项目管理人员。工程款由甲方向乙方直接支付和结算。</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val="zh-CN"/>
        </w:rPr>
        <w:t>4</w:t>
      </w:r>
      <w:r>
        <w:rPr>
          <w:rFonts w:hint="eastAsia" w:ascii="仿宋_GB2312" w:hAnsi="宋体" w:eastAsia="仿宋_GB2312" w:cs="宋体"/>
          <w:sz w:val="32"/>
          <w:szCs w:val="32"/>
          <w:highlight w:val="none"/>
        </w:rPr>
        <w:t>.工程计价依据：按本合同第六条第二款。</w:t>
      </w:r>
    </w:p>
    <w:p>
      <w:pPr>
        <w:kinsoku w:val="0"/>
        <w:overflowPunct w:val="0"/>
        <w:autoSpaceDE w:val="0"/>
        <w:autoSpaceDN w:val="0"/>
        <w:adjustRightInd w:val="0"/>
        <w:snapToGrid w:val="0"/>
        <w:spacing w:line="580" w:lineRule="exact"/>
        <w:ind w:firstLine="640" w:firstLineChars="200"/>
        <w:rPr>
          <w:rFonts w:ascii="黑体" w:hAnsi="黑体" w:eastAsia="黑体" w:cs="宋体"/>
          <w:bCs/>
          <w:sz w:val="32"/>
          <w:szCs w:val="32"/>
          <w:highlight w:val="none"/>
        </w:rPr>
      </w:pPr>
      <w:r>
        <w:rPr>
          <w:rFonts w:hint="eastAsia" w:ascii="黑体" w:hAnsi="黑体" w:eastAsia="黑体" w:cs="宋体"/>
          <w:bCs/>
          <w:sz w:val="32"/>
          <w:szCs w:val="32"/>
          <w:highlight w:val="none"/>
        </w:rPr>
        <w:t>二、甲方的权利、义务</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1.根据项目工程对维修经费预算进行审核，并以审核价为工程包干经费（人工、材料、 工期、安全、验收）。甲方除支付工程费用之外，不支付其它额外发生的费用。</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2.施工过程中甲方派人现场监督，隐蔽工程待甲方同意后方可填埋。</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乙方施工完工后书面通知甲方，甲方应在3个工作日内组织相关人员到现场对工程进行验收，同一工程点因乙方原因造成验收三次仍不合格的，则甲方根据需要将自行安排第三方进行维修，所发生的一切费用将由乙方负责，验收合格后按本合同第六条的约定进行结算。</w:t>
      </w:r>
    </w:p>
    <w:p>
      <w:pPr>
        <w:kinsoku w:val="0"/>
        <w:overflowPunct w:val="0"/>
        <w:autoSpaceDE w:val="0"/>
        <w:autoSpaceDN w:val="0"/>
        <w:adjustRightInd w:val="0"/>
        <w:snapToGrid w:val="0"/>
        <w:spacing w:line="580" w:lineRule="exact"/>
        <w:ind w:firstLine="640" w:firstLineChars="200"/>
        <w:rPr>
          <w:rFonts w:ascii="黑体" w:hAnsi="黑体" w:eastAsia="黑体" w:cs="宋体"/>
          <w:bCs/>
          <w:sz w:val="32"/>
          <w:szCs w:val="32"/>
          <w:highlight w:val="none"/>
        </w:rPr>
      </w:pPr>
      <w:r>
        <w:rPr>
          <w:rFonts w:hint="eastAsia" w:ascii="黑体" w:hAnsi="黑体" w:eastAsia="黑体" w:cs="宋体"/>
          <w:bCs/>
          <w:sz w:val="32"/>
          <w:szCs w:val="32"/>
          <w:highlight w:val="none"/>
        </w:rPr>
        <w:t>三、乙方的权利、义务</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按照法律法规需由具有资质的人员进行施工的项目，乙方派驻的人员应具备该等级资质。乙方派驻的人符合相关等级资质直接与考评挂钩。乙方须为施工项目指派至少2名项目负责人，该2名项目负责人在合同期限内应是固定的，如需更换，必须征得甲方同意。乙方须</w:t>
      </w:r>
      <w:r>
        <w:rPr>
          <w:rFonts w:hint="default" w:ascii="Times New Roman" w:hAnsi="Times New Roman" w:eastAsia="仿宋_GB2312" w:cs="Times New Roman"/>
          <w:kern w:val="2"/>
          <w:sz w:val="32"/>
          <w:szCs w:val="32"/>
          <w:highlight w:val="none"/>
          <w:lang w:val="en-US" w:eastAsia="zh-CN" w:bidi="ar"/>
        </w:rPr>
        <w:t>提供</w:t>
      </w:r>
      <w:r>
        <w:rPr>
          <w:rFonts w:hint="eastAsia" w:ascii="Times New Roman" w:hAnsi="Times New Roman" w:eastAsia="仿宋_GB2312" w:cs="Times New Roman"/>
          <w:kern w:val="2"/>
          <w:sz w:val="32"/>
          <w:szCs w:val="32"/>
          <w:highlight w:val="none"/>
          <w:lang w:val="en-US" w:eastAsia="zh-CN" w:bidi="ar"/>
        </w:rPr>
        <w:t>充足的交通运输工具</w:t>
      </w:r>
      <w:r>
        <w:rPr>
          <w:rFonts w:hint="default" w:ascii="Times New Roman" w:hAnsi="Times New Roman" w:eastAsia="仿宋_GB2312" w:cs="Times New Roman"/>
          <w:kern w:val="2"/>
          <w:sz w:val="32"/>
          <w:szCs w:val="32"/>
          <w:highlight w:val="none"/>
          <w:lang w:val="en-US" w:eastAsia="zh-CN" w:bidi="ar"/>
        </w:rPr>
        <w:t>为本项目服务</w:t>
      </w:r>
      <w:r>
        <w:rPr>
          <w:rFonts w:hint="eastAsia" w:ascii="Times New Roman" w:hAnsi="Times New Roman" w:eastAsia="仿宋_GB2312" w:cs="Times New Roman"/>
          <w:kern w:val="2"/>
          <w:sz w:val="32"/>
          <w:szCs w:val="32"/>
          <w:highlight w:val="none"/>
          <w:lang w:val="en-US" w:eastAsia="zh-CN" w:bidi="ar"/>
        </w:rPr>
        <w:t>。</w:t>
      </w:r>
      <w:r>
        <w:rPr>
          <w:rFonts w:hint="eastAsia" w:ascii="仿宋_GB2312" w:hAnsi="宋体" w:eastAsia="仿宋_GB2312" w:cs="宋体"/>
          <w:sz w:val="32"/>
          <w:szCs w:val="32"/>
          <w:highlight w:val="none"/>
        </w:rPr>
        <w:t>乙方应提供</w:t>
      </w:r>
      <w:r>
        <w:rPr>
          <w:rFonts w:hint="eastAsia" w:ascii="仿宋_GB2312" w:eastAsia="仿宋_GB2312" w:cs="宋体"/>
          <w:sz w:val="32"/>
          <w:szCs w:val="32"/>
          <w:highlight w:val="none"/>
          <w:lang w:eastAsia="zh-CN"/>
        </w:rPr>
        <w:t>每周</w:t>
      </w:r>
      <w:r>
        <w:rPr>
          <w:rFonts w:hint="eastAsia" w:ascii="仿宋_GB2312" w:hAnsi="宋体" w:eastAsia="仿宋_GB2312" w:cs="宋体"/>
          <w:sz w:val="32"/>
          <w:szCs w:val="32"/>
          <w:highlight w:val="none"/>
        </w:rPr>
        <w:t>7*24小时的服务热线的服务，必须在1小时内响应并且到达施工现场。</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2.乙方在甲方发出维修通知或签订项目合同后3日内必须进场施工。如因乙方原因造成 工期延迟或乙方未按甲方指定的时间进场施工，甲方有权指派其他入库公司维修，由此造成的损失由乙方负责。</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在施工过程中，乙方必须严格按照有关规范安全施工，负责施工场地范围内的一切卫生、环保、安全生产等工作。因工程质量问题造成的所有损失由乙方负责。若因乙方原因导致发生工作质量事故，甲方有权暂停本合同的履行，责令乙方停工整顿，直至甲方批准同意继续履行本合同为止，由此而造成的经济损失由乙方承担，因乙方施工过程中造成甲方及第三人人身、财产损害的，均由乙方承担赔偿责任。</w:t>
      </w:r>
    </w:p>
    <w:p>
      <w:pPr>
        <w:kinsoku w:val="0"/>
        <w:overflowPunct w:val="0"/>
        <w:autoSpaceDE w:val="0"/>
        <w:autoSpaceDN w:val="0"/>
        <w:adjustRightInd w:val="0"/>
        <w:snapToGrid w:val="0"/>
        <w:spacing w:line="58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4.乙方需遵守《广州市城壹物业发展有限公司东片区保障性住房及配套设备设施日常小额维修企业库管理办法》及安全生产的相关制度并无条件接受相关制度的奖罚规定。</w:t>
      </w:r>
    </w:p>
    <w:p>
      <w:pPr>
        <w:kinsoku w:val="0"/>
        <w:overflowPunct w:val="0"/>
        <w:autoSpaceDE w:val="0"/>
        <w:autoSpaceDN w:val="0"/>
        <w:adjustRightInd w:val="0"/>
        <w:snapToGrid w:val="0"/>
        <w:spacing w:line="580" w:lineRule="exact"/>
        <w:ind w:firstLine="640" w:firstLineChars="200"/>
        <w:rPr>
          <w:rFonts w:ascii="黑体" w:hAnsi="黑体" w:eastAsia="黑体" w:cs="宋体"/>
          <w:bCs/>
          <w:sz w:val="32"/>
          <w:szCs w:val="32"/>
          <w:highlight w:val="none"/>
        </w:rPr>
      </w:pPr>
      <w:r>
        <w:rPr>
          <w:rFonts w:hint="eastAsia" w:ascii="黑体" w:hAnsi="黑体" w:eastAsia="黑体" w:cs="宋体"/>
          <w:bCs/>
          <w:sz w:val="32"/>
          <w:szCs w:val="32"/>
          <w:highlight w:val="none"/>
        </w:rPr>
        <w:t>四、工程保修期</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法律法规对保修期有规定的，按照法律法规的规定执行。法律法规为规定保修期或规定的保修期低于一年的，则乙方维修工程的保修期为一年。保修期内出现质量问题，乙方自接到甲方的通知起3个工作日内立即返修，返修两次不合格的，则甲方根据需要自行安排第三方进行维修，保修涉及的所有费用由乙方承担。</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2.若乙方拒不履行保修责任的，则甲方将自行安排维修工作，所发生的一切费用将在乙方的履约保证金内扣除，质保金不足以支付的部分甲方有权向乙方追偿。</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3.合同签订之日起2年。</w:t>
      </w:r>
    </w:p>
    <w:p>
      <w:pPr>
        <w:kinsoku w:val="0"/>
        <w:overflowPunct w:val="0"/>
        <w:autoSpaceDE w:val="0"/>
        <w:autoSpaceDN w:val="0"/>
        <w:adjustRightInd w:val="0"/>
        <w:snapToGrid w:val="0"/>
        <w:spacing w:line="580" w:lineRule="exact"/>
        <w:ind w:firstLine="640" w:firstLineChars="200"/>
        <w:rPr>
          <w:rFonts w:ascii="黑体" w:hAnsi="黑体" w:eastAsia="黑体" w:cs="宋体"/>
          <w:bCs/>
          <w:sz w:val="32"/>
          <w:szCs w:val="32"/>
          <w:highlight w:val="none"/>
        </w:rPr>
      </w:pPr>
      <w:r>
        <w:rPr>
          <w:rFonts w:hint="eastAsia" w:ascii="黑体" w:hAnsi="黑体" w:eastAsia="黑体" w:cs="宋体"/>
          <w:bCs/>
          <w:sz w:val="32"/>
          <w:szCs w:val="32"/>
          <w:highlight w:val="none"/>
        </w:rPr>
        <w:t>五、材料设备供应</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1.乙方负责采购材料设备，严格按照双方约定的品牌按标准采购，并提供产品合格证明，对材料设备质量负责。如需选用约定品牌以外的设备材料必须经过甲方认可，报送样板经甲方确认后进场使用。</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2.乙方所选用的材料必须符合</w:t>
      </w:r>
      <w:r>
        <w:rPr>
          <w:rFonts w:hint="eastAsia" w:ascii="仿宋_GB2312" w:hAnsi="宋体" w:eastAsia="仿宋_GB2312" w:cs="宋体"/>
          <w:sz w:val="32"/>
          <w:szCs w:val="32"/>
          <w:highlight w:val="none"/>
          <w:lang w:val="zh-CN"/>
        </w:rPr>
        <w:t>国家</w:t>
      </w:r>
      <w:r>
        <w:rPr>
          <w:rFonts w:hint="eastAsia" w:ascii="仿宋_GB2312" w:hAnsi="宋体" w:eastAsia="仿宋_GB2312" w:cs="宋体"/>
          <w:sz w:val="32"/>
          <w:szCs w:val="32"/>
          <w:highlight w:val="none"/>
        </w:rPr>
        <w:t>规范标准和有关规定，必须保证材料有质量可靠的供应来源，必须保证所用材料为质量合格材料，不得随意采用代用产品、材料，所用材料的出厂时间、生产批次、购买地址等资料须自行留底、建立台账备</w:t>
      </w:r>
      <w:r>
        <w:rPr>
          <w:rFonts w:hint="eastAsia" w:cs="微软雅黑" w:asciiTheme="minorEastAsia" w:hAnsiTheme="minorEastAsia" w:eastAsiaTheme="minorEastAsia"/>
          <w:sz w:val="32"/>
          <w:szCs w:val="32"/>
          <w:highlight w:val="none"/>
        </w:rPr>
        <w:t>査</w:t>
      </w:r>
      <w:r>
        <w:rPr>
          <w:rFonts w:hint="eastAsia" w:ascii="仿宋_GB2312" w:hAnsi="仿宋_GB2312" w:eastAsia="仿宋_GB2312" w:cs="仿宋_GB2312"/>
          <w:sz w:val="32"/>
          <w:szCs w:val="32"/>
          <w:highlight w:val="none"/>
        </w:rPr>
        <w:t>。若因材料质量不符合要求而引起验收不通过或其它后果，乙方承担一切责任并赔偿甲方的损失。</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3.工程所需的设备、材料全部由乙方负责采购至施工现场。</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4.乙方采购材料设备的，材料设备的检验费由乙方承担，包含在合同包干价中。</w:t>
      </w:r>
    </w:p>
    <w:p>
      <w:pPr>
        <w:kinsoku w:val="0"/>
        <w:overflowPunct w:val="0"/>
        <w:autoSpaceDE w:val="0"/>
        <w:autoSpaceDN w:val="0"/>
        <w:adjustRightInd w:val="0"/>
        <w:snapToGrid w:val="0"/>
        <w:spacing w:line="580" w:lineRule="exact"/>
        <w:ind w:firstLine="640" w:firstLineChars="200"/>
        <w:rPr>
          <w:rFonts w:ascii="黑体" w:hAnsi="黑体" w:eastAsia="黑体" w:cs="宋体"/>
          <w:bCs/>
          <w:sz w:val="32"/>
          <w:szCs w:val="32"/>
          <w:highlight w:val="none"/>
        </w:rPr>
      </w:pPr>
      <w:r>
        <w:rPr>
          <w:rFonts w:hint="eastAsia" w:ascii="黑体" w:hAnsi="黑体" w:eastAsia="黑体" w:cs="宋体"/>
          <w:bCs/>
          <w:sz w:val="32"/>
          <w:szCs w:val="32"/>
          <w:highlight w:val="none"/>
        </w:rPr>
        <w:t>六、结算原则</w:t>
      </w:r>
      <w:r>
        <w:rPr>
          <w:rFonts w:ascii="黑体" w:hAnsi="黑体" w:eastAsia="黑体" w:cs="宋体"/>
          <w:bCs/>
          <w:sz w:val="32"/>
          <w:szCs w:val="32"/>
          <w:highlight w:val="none"/>
        </w:rPr>
        <w:t>及付款方式</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1.甲方无法预计及无法保证乙方在合同期限内可以获得的业务量，乙方应充分考虑经营风险。</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2.计价原则</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2.1维修工程量根据现场实际测量，由甲方及服务单位共同确认。</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2.2工程计价根据《建筑工程工程量</w:t>
      </w:r>
      <w:r>
        <w:rPr>
          <w:rFonts w:hint="eastAsia" w:cs="微软雅黑" w:asciiTheme="minorEastAsia" w:hAnsiTheme="minorEastAsia" w:eastAsiaTheme="minorEastAsia"/>
          <w:sz w:val="32"/>
          <w:szCs w:val="32"/>
          <w:highlight w:val="none"/>
        </w:rPr>
        <w:t>淸</w:t>
      </w:r>
      <w:r>
        <w:rPr>
          <w:rFonts w:hint="eastAsia" w:ascii="仿宋_GB2312" w:hAnsi="仿宋_GB2312" w:eastAsia="仿宋_GB2312" w:cs="仿宋_GB2312"/>
          <w:sz w:val="32"/>
          <w:szCs w:val="32"/>
          <w:highlight w:val="none"/>
        </w:rPr>
        <w:t>单计价规范</w:t>
      </w:r>
      <w:r>
        <w:rPr>
          <w:rFonts w:hint="eastAsia" w:ascii="仿宋_GB2312" w:hAnsi="宋体" w:eastAsia="仿宋_GB2312" w:cs="宋体"/>
          <w:sz w:val="32"/>
          <w:szCs w:val="32"/>
          <w:highlight w:val="none"/>
        </w:rPr>
        <w:t>GB50500-2013》、《广东省房屋建筑和市政修缮工程工程量清单（2012）》、《广东省房屋建筑和市政修缮工程综合定额（2012）》、《广东省房屋建筑与装饰工程综合定额（2018）》、《广东省通用安装工程综合定额（2018）》、《广东省市政工程综合定额（2018）及相应的广州市现行取费标准计算，采用清单计价方式编制。</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2.3人工、材料及机械单价按施工当期发布的《广州地区建设工程常用材料综合价格》及《广州地区建设工程材料（设备）厂商价格信息》，并结合市场价格调整。</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2.4管理费按一类地区标准、利润率，有关费率按计价办法规定取上限。</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3.工程款按宗结算，工程最终结算价按第三方结算审核为准。在工程验收合格并审定结算后，甲方自收到乙方开具的工程款增值税专用发票之日起</w:t>
      </w:r>
      <w:r>
        <w:rPr>
          <w:rFonts w:hint="eastAsia" w:ascii="仿宋_GB2312" w:eastAsia="仿宋_GB2312" w:cs="宋体"/>
          <w:sz w:val="32"/>
          <w:szCs w:val="32"/>
          <w:highlight w:val="none"/>
          <w:lang w:eastAsia="zh-CN"/>
        </w:rPr>
        <w:t>，</w:t>
      </w:r>
      <w:r>
        <w:rPr>
          <w:rFonts w:hint="eastAsia" w:ascii="仿宋_GB2312" w:hAnsi="宋体" w:eastAsia="仿宋_GB2312" w:cs="宋体"/>
          <w:sz w:val="32"/>
          <w:szCs w:val="32"/>
          <w:highlight w:val="none"/>
        </w:rPr>
        <w:t>20</w:t>
      </w:r>
      <w:r>
        <w:rPr>
          <w:rFonts w:hint="eastAsia" w:ascii="仿宋_GB2312" w:eastAsia="仿宋_GB2312" w:cs="宋体"/>
          <w:sz w:val="32"/>
          <w:szCs w:val="32"/>
          <w:highlight w:val="none"/>
          <w:lang w:val="en-US" w:eastAsia="zh-CN"/>
        </w:rPr>
        <w:t>个</w:t>
      </w:r>
      <w:r>
        <w:rPr>
          <w:rFonts w:hint="eastAsia" w:ascii="仿宋_GB2312" w:hAnsi="宋体" w:eastAsia="仿宋_GB2312" w:cs="宋体"/>
          <w:sz w:val="32"/>
          <w:szCs w:val="32"/>
          <w:highlight w:val="none"/>
        </w:rPr>
        <w:t>工作日内一次性支付97%；扣除结算价的3%作为工程质量保证金，工程质量保证金待保修期届满，乙方履行完毕保修义务并开具工程款发票后，甲方向乙方一次性付清剩余款项。</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4.若乙方拒不提供合法发票，则甲方有权拒付相应款项。</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5.结算价=工程造价*（</w:t>
      </w:r>
      <w:r>
        <w:rPr>
          <w:rFonts w:hint="eastAsia" w:ascii="仿宋_GB2312" w:eastAsia="仿宋_GB2312" w:cs="宋体"/>
          <w:sz w:val="32"/>
          <w:szCs w:val="32"/>
          <w:highlight w:val="none"/>
          <w:lang w:val="en-US" w:eastAsia="zh-CN"/>
        </w:rPr>
        <w:t>1-中标下浮率</w:t>
      </w:r>
      <w:r>
        <w:rPr>
          <w:rFonts w:hint="eastAsia" w:ascii="仿宋_GB2312" w:eastAsia="仿宋_GB2312" w:cs="宋体"/>
          <w:sz w:val="32"/>
          <w:szCs w:val="32"/>
          <w:highlight w:val="none"/>
          <w:u w:val="single"/>
          <w:lang w:val="en-US" w:eastAsia="zh-CN"/>
        </w:rPr>
        <w:t xml:space="preserve"> </w:t>
      </w:r>
      <w:r>
        <w:rPr>
          <w:rFonts w:hint="eastAsia" w:ascii="仿宋_GB2312" w:eastAsia="仿宋_GB2312" w:cs="宋体"/>
          <w:sz w:val="32"/>
          <w:szCs w:val="32"/>
          <w:highlight w:val="none"/>
          <w:lang w:val="en-US" w:eastAsia="zh-CN"/>
        </w:rPr>
        <w:t>%</w:t>
      </w:r>
      <w:r>
        <w:rPr>
          <w:rFonts w:hint="eastAsia" w:ascii="仿宋_GB2312" w:hAnsi="宋体" w:eastAsia="仿宋_GB2312" w:cs="宋体"/>
          <w:sz w:val="32"/>
          <w:szCs w:val="32"/>
          <w:highlight w:val="none"/>
        </w:rPr>
        <w:t>）</w:t>
      </w:r>
    </w:p>
    <w:p>
      <w:pPr>
        <w:kinsoku w:val="0"/>
        <w:overflowPunct w:val="0"/>
        <w:autoSpaceDE w:val="0"/>
        <w:autoSpaceDN w:val="0"/>
        <w:adjustRightInd w:val="0"/>
        <w:snapToGrid w:val="0"/>
        <w:spacing w:line="580" w:lineRule="exact"/>
        <w:ind w:firstLine="640" w:firstLineChars="200"/>
        <w:rPr>
          <w:rFonts w:ascii="黑体" w:hAnsi="黑体" w:eastAsia="黑体" w:cs="宋体"/>
          <w:bCs/>
          <w:sz w:val="32"/>
          <w:szCs w:val="32"/>
          <w:highlight w:val="none"/>
        </w:rPr>
      </w:pPr>
      <w:r>
        <w:rPr>
          <w:rFonts w:hint="eastAsia" w:ascii="黑体" w:hAnsi="黑体" w:eastAsia="黑体" w:cs="宋体"/>
          <w:bCs/>
          <w:sz w:val="32"/>
          <w:szCs w:val="32"/>
          <w:highlight w:val="none"/>
        </w:rPr>
        <w:t>七、履约保证金</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1.乙方须于收到入选通知书后十天内向甲方提交人民币2万元履约保证金。</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2.履约保证金用于按合同补偿甲方因正式乙方不能完成其合同任务而蒙受的损失。凡因乙方责任，使甲方解除合同的，履约保证金不向乙方退还。</w:t>
      </w:r>
    </w:p>
    <w:p>
      <w:pPr>
        <w:kinsoku w:val="0"/>
        <w:overflowPunct w:val="0"/>
        <w:autoSpaceDE w:val="0"/>
        <w:autoSpaceDN w:val="0"/>
        <w:adjustRightInd w:val="0"/>
        <w:snapToGrid w:val="0"/>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3.乙方在规定期间内拒向甲方提交履约保证金，其中标资格随之终止。在乙方完成其合同义务，在合同期间内没有违约行为，则该履约保证金在合同服务期限满后15个工作日内无息退还全额履约保证金。</w:t>
      </w:r>
    </w:p>
    <w:p>
      <w:pPr>
        <w:kinsoku w:val="0"/>
        <w:overflowPunct w:val="0"/>
        <w:autoSpaceDE w:val="0"/>
        <w:autoSpaceDN w:val="0"/>
        <w:adjustRightInd w:val="0"/>
        <w:snapToGrid w:val="0"/>
        <w:spacing w:line="580" w:lineRule="exact"/>
        <w:ind w:firstLine="640" w:firstLineChars="200"/>
        <w:jc w:val="both"/>
        <w:rPr>
          <w:rFonts w:hint="eastAsia" w:ascii="仿宋_GB2312" w:hAnsi="仿宋_GB2312" w:eastAsia="仿宋_GB2312" w:cs="仿宋_GB2312"/>
          <w:bCs/>
          <w:sz w:val="32"/>
          <w:szCs w:val="32"/>
          <w:highlight w:val="none"/>
        </w:rPr>
      </w:pPr>
      <w:r>
        <w:rPr>
          <w:rFonts w:hint="eastAsia" w:ascii="黑体" w:hAnsi="黑体" w:eastAsia="黑体" w:cs="宋体"/>
          <w:bCs/>
          <w:sz w:val="32"/>
          <w:szCs w:val="32"/>
          <w:highlight w:val="none"/>
        </w:rPr>
        <w:t>八、</w:t>
      </w:r>
      <w:r>
        <w:rPr>
          <w:rFonts w:hint="eastAsia" w:ascii="仿宋_GB2312" w:hAnsi="仿宋_GB2312" w:eastAsia="仿宋_GB2312" w:cs="仿宋_GB2312"/>
          <w:bCs/>
          <w:sz w:val="32"/>
          <w:szCs w:val="32"/>
          <w:highlight w:val="none"/>
        </w:rPr>
        <w:t>甲、乙双方如在履行本合同过程中发生争议，双方可以协商解决。经协商不能解决的，可依法向甲方所在地有管辖权的人民法院提起诉讼。</w:t>
      </w:r>
    </w:p>
    <w:p>
      <w:pPr>
        <w:kinsoku w:val="0"/>
        <w:overflowPunct w:val="0"/>
        <w:autoSpaceDE w:val="0"/>
        <w:autoSpaceDN w:val="0"/>
        <w:adjustRightInd w:val="0"/>
        <w:snapToGrid w:val="0"/>
        <w:spacing w:line="580" w:lineRule="exact"/>
        <w:ind w:firstLine="643" w:firstLineChars="200"/>
        <w:jc w:val="both"/>
        <w:rPr>
          <w:rFonts w:ascii="仿宋_GB2312" w:hAnsi="宋体" w:eastAsia="仿宋_GB2312" w:cs="宋体"/>
          <w:b w:val="0"/>
          <w:bCs w:val="0"/>
          <w:sz w:val="32"/>
          <w:szCs w:val="32"/>
          <w:highlight w:val="none"/>
        </w:rPr>
      </w:pPr>
      <w:r>
        <w:rPr>
          <w:rFonts w:hint="eastAsia" w:ascii="仿宋_GB2312" w:hAnsi="宋体" w:eastAsia="仿宋_GB2312" w:cs="宋体"/>
          <w:b/>
          <w:bCs/>
          <w:sz w:val="32"/>
          <w:szCs w:val="32"/>
          <w:highlight w:val="none"/>
        </w:rPr>
        <w:t>九、</w:t>
      </w:r>
      <w:r>
        <w:rPr>
          <w:rFonts w:hint="eastAsia" w:ascii="仿宋_GB2312" w:hAnsi="宋体" w:eastAsia="仿宋_GB2312" w:cs="宋体"/>
          <w:b w:val="0"/>
          <w:bCs w:val="0"/>
          <w:sz w:val="32"/>
          <w:szCs w:val="32"/>
          <w:highlight w:val="none"/>
        </w:rPr>
        <w:t>本合同未尽事宜，由双方另行签订补充合同。</w:t>
      </w:r>
    </w:p>
    <w:p>
      <w:pPr>
        <w:kinsoku w:val="0"/>
        <w:overflowPunct w:val="0"/>
        <w:autoSpaceDE w:val="0"/>
        <w:autoSpaceDN w:val="0"/>
        <w:adjustRightInd w:val="0"/>
        <w:snapToGrid w:val="0"/>
        <w:spacing w:line="580" w:lineRule="exact"/>
        <w:ind w:firstLine="643" w:firstLineChars="200"/>
        <w:jc w:val="both"/>
        <w:rPr>
          <w:rFonts w:ascii="仿宋_GB2312" w:hAnsi="宋体" w:eastAsia="仿宋_GB2312" w:cs="宋体"/>
          <w:b w:val="0"/>
          <w:bCs w:val="0"/>
          <w:sz w:val="32"/>
          <w:szCs w:val="32"/>
          <w:highlight w:val="none"/>
        </w:rPr>
      </w:pPr>
      <w:r>
        <w:rPr>
          <w:rFonts w:hint="eastAsia" w:ascii="仿宋_GB2312" w:hAnsi="宋体" w:eastAsia="仿宋_GB2312" w:cs="宋体"/>
          <w:b/>
          <w:bCs/>
          <w:sz w:val="32"/>
          <w:szCs w:val="32"/>
          <w:highlight w:val="none"/>
        </w:rPr>
        <w:t>十、</w:t>
      </w:r>
      <w:r>
        <w:rPr>
          <w:rFonts w:hint="eastAsia" w:ascii="仿宋_GB2312" w:hAnsi="宋体" w:eastAsia="仿宋_GB2312" w:cs="宋体"/>
          <w:b w:val="0"/>
          <w:bCs w:val="0"/>
          <w:sz w:val="32"/>
          <w:szCs w:val="32"/>
          <w:highlight w:val="none"/>
        </w:rPr>
        <w:t>本合同自甲、乙双方授权代表签字或盖章之日起生效，有效期两年，</w:t>
      </w:r>
      <w:r>
        <w:rPr>
          <w:rFonts w:hint="eastAsia" w:ascii="仿宋_GB2312" w:hAnsi="宋体" w:eastAsia="仿宋_GB2312" w:cs="宋体"/>
          <w:b w:val="0"/>
          <w:bCs w:val="0"/>
          <w:sz w:val="32"/>
          <w:szCs w:val="32"/>
          <w:highlight w:val="none"/>
          <w:u w:val="single"/>
        </w:rPr>
        <w:t xml:space="preserve">     </w:t>
      </w:r>
      <w:r>
        <w:rPr>
          <w:rFonts w:hint="eastAsia" w:ascii="仿宋_GB2312" w:hAnsi="宋体" w:eastAsia="仿宋_GB2312" w:cs="宋体"/>
          <w:b w:val="0"/>
          <w:bCs w:val="0"/>
          <w:sz w:val="32"/>
          <w:szCs w:val="32"/>
          <w:highlight w:val="none"/>
        </w:rPr>
        <w:t>年</w:t>
      </w:r>
      <w:r>
        <w:rPr>
          <w:rFonts w:hint="eastAsia" w:ascii="仿宋_GB2312" w:hAnsi="宋体" w:eastAsia="仿宋_GB2312" w:cs="宋体"/>
          <w:b w:val="0"/>
          <w:bCs w:val="0"/>
          <w:sz w:val="32"/>
          <w:szCs w:val="32"/>
          <w:highlight w:val="none"/>
          <w:u w:val="single"/>
        </w:rPr>
        <w:t xml:space="preserve">     </w:t>
      </w:r>
      <w:r>
        <w:rPr>
          <w:rFonts w:hint="eastAsia" w:ascii="仿宋_GB2312" w:hAnsi="宋体" w:eastAsia="仿宋_GB2312" w:cs="宋体"/>
          <w:b w:val="0"/>
          <w:bCs w:val="0"/>
          <w:sz w:val="32"/>
          <w:szCs w:val="32"/>
          <w:highlight w:val="none"/>
        </w:rPr>
        <w:t>月</w:t>
      </w:r>
      <w:r>
        <w:rPr>
          <w:rFonts w:hint="eastAsia" w:ascii="仿宋_GB2312" w:hAnsi="宋体" w:eastAsia="仿宋_GB2312" w:cs="宋体"/>
          <w:b w:val="0"/>
          <w:bCs w:val="0"/>
          <w:sz w:val="32"/>
          <w:szCs w:val="32"/>
          <w:highlight w:val="none"/>
          <w:u w:val="single"/>
        </w:rPr>
        <w:t xml:space="preserve">    </w:t>
      </w:r>
      <w:r>
        <w:rPr>
          <w:rFonts w:hint="eastAsia" w:ascii="仿宋_GB2312" w:hAnsi="宋体" w:eastAsia="仿宋_GB2312" w:cs="宋体"/>
          <w:b w:val="0"/>
          <w:bCs w:val="0"/>
          <w:sz w:val="32"/>
          <w:szCs w:val="32"/>
          <w:highlight w:val="none"/>
        </w:rPr>
        <w:t>日起</w:t>
      </w:r>
      <w:r>
        <w:rPr>
          <w:rFonts w:hint="eastAsia" w:ascii="仿宋_GB2312" w:hAnsi="宋体" w:eastAsia="仿宋_GB2312" w:cs="宋体"/>
          <w:b w:val="0"/>
          <w:bCs w:val="0"/>
          <w:sz w:val="32"/>
          <w:szCs w:val="32"/>
          <w:highlight w:val="none"/>
          <w:u w:val="single"/>
        </w:rPr>
        <w:t xml:space="preserve">     </w:t>
      </w:r>
      <w:r>
        <w:rPr>
          <w:rFonts w:hint="eastAsia" w:ascii="仿宋_GB2312" w:hAnsi="宋体" w:eastAsia="仿宋_GB2312" w:cs="宋体"/>
          <w:b w:val="0"/>
          <w:bCs w:val="0"/>
          <w:sz w:val="32"/>
          <w:szCs w:val="32"/>
          <w:highlight w:val="none"/>
        </w:rPr>
        <w:t>年</w:t>
      </w:r>
      <w:r>
        <w:rPr>
          <w:rFonts w:hint="eastAsia" w:ascii="仿宋_GB2312" w:hAnsi="宋体" w:eastAsia="仿宋_GB2312" w:cs="宋体"/>
          <w:b w:val="0"/>
          <w:bCs w:val="0"/>
          <w:sz w:val="32"/>
          <w:szCs w:val="32"/>
          <w:highlight w:val="none"/>
          <w:u w:val="single"/>
        </w:rPr>
        <w:t xml:space="preserve">      </w:t>
      </w:r>
      <w:r>
        <w:rPr>
          <w:rFonts w:hint="eastAsia" w:ascii="仿宋_GB2312" w:hAnsi="宋体" w:eastAsia="仿宋_GB2312" w:cs="宋体"/>
          <w:b w:val="0"/>
          <w:bCs w:val="0"/>
          <w:sz w:val="32"/>
          <w:szCs w:val="32"/>
          <w:highlight w:val="none"/>
        </w:rPr>
        <w:t>月</w:t>
      </w:r>
      <w:r>
        <w:rPr>
          <w:rFonts w:hint="eastAsia" w:ascii="仿宋_GB2312" w:hAnsi="宋体" w:eastAsia="仿宋_GB2312" w:cs="宋体"/>
          <w:b w:val="0"/>
          <w:bCs w:val="0"/>
          <w:sz w:val="32"/>
          <w:szCs w:val="32"/>
          <w:highlight w:val="none"/>
          <w:u w:val="single"/>
        </w:rPr>
        <w:t xml:space="preserve">      </w:t>
      </w:r>
      <w:r>
        <w:rPr>
          <w:rFonts w:hint="eastAsia" w:ascii="仿宋_GB2312" w:hAnsi="宋体" w:eastAsia="仿宋_GB2312" w:cs="宋体"/>
          <w:b w:val="0"/>
          <w:bCs w:val="0"/>
          <w:sz w:val="32"/>
          <w:szCs w:val="32"/>
          <w:highlight w:val="none"/>
        </w:rPr>
        <w:t>日止。</w:t>
      </w:r>
    </w:p>
    <w:p>
      <w:pPr>
        <w:kinsoku w:val="0"/>
        <w:overflowPunct w:val="0"/>
        <w:autoSpaceDE w:val="0"/>
        <w:autoSpaceDN w:val="0"/>
        <w:adjustRightInd w:val="0"/>
        <w:snapToGrid w:val="0"/>
        <w:spacing w:line="580" w:lineRule="exact"/>
        <w:ind w:firstLine="643" w:firstLineChars="200"/>
        <w:jc w:val="both"/>
        <w:rPr>
          <w:rFonts w:ascii="仿宋_GB2312" w:hAnsi="宋体" w:eastAsia="仿宋_GB2312" w:cs="宋体"/>
          <w:b w:val="0"/>
          <w:bCs w:val="0"/>
          <w:sz w:val="32"/>
          <w:szCs w:val="32"/>
          <w:highlight w:val="none"/>
        </w:rPr>
      </w:pPr>
      <w:r>
        <w:rPr>
          <w:rFonts w:hint="eastAsia" w:ascii="仿宋_GB2312" w:hAnsi="宋体" w:eastAsia="仿宋_GB2312" w:cs="宋体"/>
          <w:b/>
          <w:bCs/>
          <w:sz w:val="32"/>
          <w:szCs w:val="32"/>
          <w:highlight w:val="none"/>
        </w:rPr>
        <w:t>十一、</w:t>
      </w:r>
      <w:r>
        <w:rPr>
          <w:rFonts w:hint="eastAsia" w:ascii="仿宋_GB2312" w:hAnsi="宋体" w:eastAsia="仿宋_GB2312" w:cs="宋体"/>
          <w:b w:val="0"/>
          <w:bCs w:val="0"/>
          <w:sz w:val="32"/>
          <w:szCs w:val="32"/>
          <w:highlight w:val="none"/>
        </w:rPr>
        <w:t>本合同一式陆份，甲方执肆份，乙方执贰份，均具同等法律效力。</w:t>
      </w:r>
    </w:p>
    <w:p>
      <w:pPr>
        <w:kinsoku w:val="0"/>
        <w:overflowPunct w:val="0"/>
        <w:autoSpaceDE w:val="0"/>
        <w:autoSpaceDN w:val="0"/>
        <w:adjustRightInd w:val="0"/>
        <w:snapToGrid w:val="0"/>
        <w:spacing w:line="580" w:lineRule="exact"/>
        <w:ind w:firstLine="643" w:firstLineChars="200"/>
        <w:jc w:val="both"/>
        <w:rPr>
          <w:rFonts w:ascii="仿宋_GB2312" w:hAnsi="宋体" w:eastAsia="仿宋_GB2312" w:cs="宋体"/>
          <w:b/>
          <w:bCs/>
          <w:sz w:val="32"/>
          <w:szCs w:val="32"/>
          <w:highlight w:val="none"/>
        </w:rPr>
      </w:pPr>
    </w:p>
    <w:p>
      <w:pPr>
        <w:pStyle w:val="28"/>
        <w:widowControl w:val="0"/>
        <w:pBdr>
          <w:left w:val="none" w:color="auto" w:sz="0" w:space="0"/>
          <w:bottom w:val="none" w:color="auto" w:sz="0" w:space="0"/>
          <w:right w:val="none" w:color="auto" w:sz="0" w:space="0"/>
        </w:pBdr>
        <w:spacing w:before="0" w:beforeAutospacing="0" w:after="0" w:afterAutospacing="0" w:line="580" w:lineRule="exact"/>
        <w:jc w:val="left"/>
        <w:rPr>
          <w:rFonts w:ascii="仿宋_GB2312" w:eastAsia="仿宋_GB2312" w:cs="宋体"/>
          <w:kern w:val="2"/>
          <w:sz w:val="32"/>
          <w:szCs w:val="32"/>
          <w:highlight w:val="none"/>
        </w:rPr>
      </w:pPr>
      <w:r>
        <w:rPr>
          <w:rFonts w:hint="eastAsia" w:ascii="仿宋_GB2312" w:eastAsia="仿宋_GB2312" w:cs="宋体"/>
          <w:kern w:val="2"/>
          <w:sz w:val="32"/>
          <w:szCs w:val="32"/>
          <w:highlight w:val="none"/>
        </w:rPr>
        <w:t>附件：1.维修质量保证书</w:t>
      </w:r>
    </w:p>
    <w:p>
      <w:pPr>
        <w:pStyle w:val="28"/>
        <w:widowControl w:val="0"/>
        <w:pBdr>
          <w:left w:val="none" w:color="auto" w:sz="0" w:space="0"/>
          <w:bottom w:val="none" w:color="auto" w:sz="0" w:space="0"/>
          <w:right w:val="none" w:color="auto" w:sz="0" w:space="0"/>
        </w:pBdr>
        <w:spacing w:before="0" w:beforeAutospacing="0" w:after="0" w:afterAutospacing="0" w:line="580" w:lineRule="exact"/>
        <w:ind w:firstLine="960" w:firstLineChars="300"/>
        <w:jc w:val="left"/>
        <w:rPr>
          <w:rFonts w:ascii="仿宋_GB2312" w:eastAsia="仿宋_GB2312" w:cs="宋体"/>
          <w:kern w:val="2"/>
          <w:sz w:val="32"/>
          <w:szCs w:val="32"/>
          <w:highlight w:val="none"/>
        </w:rPr>
      </w:pPr>
      <w:r>
        <w:rPr>
          <w:rFonts w:hint="eastAsia" w:ascii="仿宋_GB2312" w:eastAsia="仿宋_GB2312" w:cs="宋体"/>
          <w:kern w:val="2"/>
          <w:sz w:val="32"/>
          <w:szCs w:val="32"/>
          <w:highlight w:val="none"/>
        </w:rPr>
        <w:t>2.廉洁</w:t>
      </w:r>
      <w:bookmarkStart w:id="17" w:name="_GoBack"/>
      <w:bookmarkEnd w:id="17"/>
      <w:r>
        <w:rPr>
          <w:rFonts w:hint="eastAsia" w:ascii="仿宋_GB2312" w:eastAsia="仿宋_GB2312" w:cs="宋体"/>
          <w:kern w:val="2"/>
          <w:sz w:val="32"/>
          <w:szCs w:val="32"/>
          <w:highlight w:val="none"/>
        </w:rPr>
        <w:t>协议</w:t>
      </w:r>
    </w:p>
    <w:p>
      <w:pPr>
        <w:pStyle w:val="28"/>
        <w:widowControl w:val="0"/>
        <w:pBdr>
          <w:left w:val="none" w:color="auto" w:sz="0" w:space="0"/>
          <w:bottom w:val="none" w:color="auto" w:sz="0" w:space="0"/>
          <w:right w:val="none" w:color="auto" w:sz="0" w:space="0"/>
        </w:pBdr>
        <w:spacing w:before="0" w:beforeAutospacing="0" w:after="0" w:afterAutospacing="0" w:line="580" w:lineRule="exact"/>
        <w:ind w:firstLine="960" w:firstLineChars="300"/>
        <w:jc w:val="left"/>
        <w:rPr>
          <w:rFonts w:hint="eastAsia" w:ascii="仿宋_GB2312" w:eastAsia="仿宋_GB2312" w:cs="宋体"/>
          <w:sz w:val="32"/>
          <w:szCs w:val="32"/>
          <w:highlight w:val="none"/>
        </w:rPr>
      </w:pPr>
      <w:r>
        <w:rPr>
          <w:rFonts w:hint="eastAsia" w:ascii="仿宋_GB2312" w:eastAsia="仿宋_GB2312" w:cs="宋体"/>
          <w:sz w:val="32"/>
          <w:szCs w:val="32"/>
          <w:highlight w:val="none"/>
        </w:rPr>
        <w:t>3.安全生产管理协议书</w:t>
      </w:r>
    </w:p>
    <w:p>
      <w:pPr>
        <w:pStyle w:val="28"/>
        <w:widowControl w:val="0"/>
        <w:pBdr>
          <w:left w:val="none" w:color="auto" w:sz="0" w:space="0"/>
          <w:bottom w:val="none" w:color="auto" w:sz="0" w:space="0"/>
          <w:right w:val="none" w:color="auto" w:sz="0" w:space="0"/>
        </w:pBdr>
        <w:spacing w:before="0" w:beforeAutospacing="0" w:after="0" w:afterAutospacing="0" w:line="580" w:lineRule="exact"/>
        <w:ind w:left="1277" w:leftChars="435" w:hanging="320" w:hangingChars="100"/>
        <w:jc w:val="left"/>
        <w:rPr>
          <w:rFonts w:hint="eastAsia" w:ascii="仿宋_GB2312" w:hAnsi="仿宋_GB2312" w:eastAsia="仿宋_GB2312" w:cs="仿宋_GB2312"/>
          <w:b w:val="0"/>
          <w:bCs/>
          <w:color w:val="auto"/>
          <w:sz w:val="32"/>
          <w:szCs w:val="32"/>
          <w:highlight w:val="none"/>
          <w:lang w:val="en-US" w:eastAsia="zh-CN"/>
        </w:rPr>
      </w:pPr>
      <w:r>
        <w:rPr>
          <w:rFonts w:hint="eastAsia" w:ascii="仿宋_GB2312" w:eastAsia="仿宋_GB2312" w:cs="宋体"/>
          <w:sz w:val="32"/>
          <w:szCs w:val="32"/>
          <w:highlight w:val="none"/>
          <w:lang w:val="en-US" w:eastAsia="zh-CN"/>
        </w:rPr>
        <w:t>4.</w:t>
      </w:r>
      <w:r>
        <w:rPr>
          <w:rFonts w:hint="eastAsia" w:ascii="仿宋_GB2312" w:hAnsi="仿宋_GB2312" w:eastAsia="仿宋_GB2312" w:cs="仿宋_GB2312"/>
          <w:b w:val="0"/>
          <w:bCs/>
          <w:color w:val="auto"/>
          <w:sz w:val="32"/>
          <w:szCs w:val="32"/>
          <w:highlight w:val="none"/>
        </w:rPr>
        <w:t>广州市城壹物业发展有限公司东片区保障性住房及</w:t>
      </w:r>
      <w:r>
        <w:rPr>
          <w:rFonts w:hint="eastAsia" w:ascii="仿宋_GB2312" w:hAnsi="仿宋_GB2312" w:eastAsia="仿宋_GB2312" w:cs="仿宋_GB2312"/>
          <w:b w:val="0"/>
          <w:bCs/>
          <w:color w:val="auto"/>
          <w:sz w:val="32"/>
          <w:szCs w:val="32"/>
          <w:highlight w:val="none"/>
          <w:lang w:val="en-US" w:eastAsia="zh-CN"/>
        </w:rPr>
        <w:t>配套</w:t>
      </w:r>
      <w:r>
        <w:rPr>
          <w:rFonts w:hint="eastAsia" w:ascii="仿宋_GB2312" w:hAnsi="仿宋_GB2312" w:eastAsia="仿宋_GB2312" w:cs="仿宋_GB2312"/>
          <w:b w:val="0"/>
          <w:bCs/>
          <w:color w:val="auto"/>
          <w:sz w:val="32"/>
          <w:szCs w:val="32"/>
          <w:highlight w:val="none"/>
        </w:rPr>
        <w:t>设</w:t>
      </w:r>
      <w:r>
        <w:rPr>
          <w:rFonts w:hint="eastAsia" w:ascii="仿宋_GB2312" w:hAnsi="仿宋_GB2312" w:eastAsia="仿宋_GB2312" w:cs="仿宋_GB2312"/>
          <w:b w:val="0"/>
          <w:bCs/>
          <w:color w:val="auto"/>
          <w:sz w:val="32"/>
          <w:szCs w:val="32"/>
          <w:highlight w:val="none"/>
          <w:lang w:val="en-US"/>
        </w:rPr>
        <w:t>施</w:t>
      </w:r>
      <w:r>
        <w:rPr>
          <w:rFonts w:hint="eastAsia" w:ascii="仿宋_GB2312" w:hAnsi="仿宋_GB2312" w:eastAsia="仿宋_GB2312" w:cs="仿宋_GB2312"/>
          <w:b w:val="0"/>
          <w:bCs/>
          <w:color w:val="auto"/>
          <w:sz w:val="32"/>
          <w:szCs w:val="32"/>
          <w:highlight w:val="none"/>
          <w:lang w:val="en-US" w:eastAsia="zh-CN"/>
        </w:rPr>
        <w:t>备</w:t>
      </w:r>
      <w:r>
        <w:rPr>
          <w:rFonts w:hint="eastAsia" w:ascii="仿宋_GB2312" w:hAnsi="仿宋_GB2312" w:eastAsia="仿宋_GB2312" w:cs="仿宋_GB2312"/>
          <w:b w:val="0"/>
          <w:bCs/>
          <w:color w:val="auto"/>
          <w:sz w:val="32"/>
          <w:szCs w:val="32"/>
          <w:highlight w:val="none"/>
        </w:rPr>
        <w:t>设</w:t>
      </w:r>
      <w:r>
        <w:rPr>
          <w:rFonts w:hint="eastAsia" w:ascii="仿宋_GB2312" w:hAnsi="仿宋_GB2312" w:eastAsia="仿宋_GB2312" w:cs="仿宋_GB2312"/>
          <w:b w:val="0"/>
          <w:bCs/>
          <w:color w:val="auto"/>
          <w:sz w:val="32"/>
          <w:szCs w:val="32"/>
          <w:highlight w:val="none"/>
          <w:lang w:val="en-US" w:eastAsia="zh-CN"/>
        </w:rPr>
        <w:t>施日常</w:t>
      </w:r>
      <w:r>
        <w:rPr>
          <w:rFonts w:hint="eastAsia" w:ascii="仿宋_GB2312" w:hAnsi="仿宋_GB2312" w:eastAsia="仿宋_GB2312" w:cs="仿宋_GB2312"/>
          <w:b w:val="0"/>
          <w:bCs/>
          <w:color w:val="auto"/>
          <w:sz w:val="32"/>
          <w:szCs w:val="32"/>
          <w:highlight w:val="none"/>
        </w:rPr>
        <w:t>小额维修企业库管理办法</w:t>
      </w:r>
    </w:p>
    <w:p>
      <w:pPr>
        <w:pStyle w:val="28"/>
        <w:widowControl w:val="0"/>
        <w:pBdr>
          <w:left w:val="none" w:color="auto" w:sz="0" w:space="0"/>
          <w:bottom w:val="none" w:color="auto" w:sz="0" w:space="0"/>
          <w:right w:val="none" w:color="auto" w:sz="0" w:space="0"/>
        </w:pBdr>
        <w:spacing w:before="0" w:beforeAutospacing="0" w:after="0" w:afterAutospacing="0" w:line="580" w:lineRule="exact"/>
        <w:rPr>
          <w:rFonts w:cs="宋体"/>
          <w:kern w:val="2"/>
          <w:sz w:val="21"/>
          <w:szCs w:val="21"/>
          <w:highlight w:val="none"/>
        </w:rPr>
      </w:pPr>
    </w:p>
    <w:p>
      <w:pPr>
        <w:spacing w:line="580" w:lineRule="exact"/>
        <w:jc w:val="both"/>
        <w:rPr>
          <w:rFonts w:hint="eastAsia" w:ascii="仿宋_GB2312" w:hAnsi="宋体" w:eastAsia="仿宋_GB2312" w:cs="宋体"/>
          <w:sz w:val="32"/>
          <w:szCs w:val="32"/>
          <w:highlight w:val="none"/>
        </w:rPr>
      </w:pPr>
    </w:p>
    <w:p>
      <w:pPr>
        <w:spacing w:line="58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甲方：（盖章）                  乙方：（盖章）</w:t>
      </w:r>
    </w:p>
    <w:p>
      <w:pPr>
        <w:spacing w:line="58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地      址：                    地      址：</w:t>
      </w:r>
    </w:p>
    <w:p>
      <w:pPr>
        <w:tabs>
          <w:tab w:val="left" w:pos="525"/>
          <w:tab w:val="left" w:pos="1155"/>
        </w:tabs>
        <w:spacing w:line="58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法定代表人：                    法定代表人：</w:t>
      </w:r>
    </w:p>
    <w:p>
      <w:pPr>
        <w:tabs>
          <w:tab w:val="left" w:pos="525"/>
          <w:tab w:val="left" w:pos="1155"/>
        </w:tabs>
        <w:spacing w:line="58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委托代理人：                    委托代理人：</w:t>
      </w:r>
    </w:p>
    <w:p>
      <w:pPr>
        <w:tabs>
          <w:tab w:val="left" w:pos="525"/>
          <w:tab w:val="left" w:pos="1155"/>
        </w:tabs>
        <w:spacing w:line="58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开户银行：                      开户银行：</w:t>
      </w:r>
    </w:p>
    <w:p>
      <w:pPr>
        <w:tabs>
          <w:tab w:val="left" w:pos="525"/>
          <w:tab w:val="left" w:pos="1155"/>
          <w:tab w:val="left" w:pos="6090"/>
        </w:tabs>
        <w:spacing w:line="580" w:lineRule="exact"/>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帐    号：                      帐    号：</w:t>
      </w:r>
    </w:p>
    <w:p>
      <w:pPr>
        <w:tabs>
          <w:tab w:val="left" w:pos="525"/>
          <w:tab w:val="left" w:pos="1155"/>
        </w:tabs>
        <w:spacing w:line="580" w:lineRule="exact"/>
        <w:jc w:val="both"/>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签订时间：</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年</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月</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 xml:space="preserve">日  </w:t>
      </w:r>
      <w:r>
        <w:rPr>
          <w:rFonts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rPr>
        <w:t>签订时间：</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年</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月</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日</w:t>
      </w:r>
      <w:bookmarkStart w:id="14" w:name="_Toc10418"/>
      <w:bookmarkStart w:id="15" w:name="_Toc17605"/>
      <w:bookmarkStart w:id="16" w:name="_Toc24255"/>
    </w:p>
    <w:p>
      <w:pPr>
        <w:rPr>
          <w:rFonts w:hint="eastAsia" w:ascii="宋体" w:hAnsi="宋体" w:eastAsia="宋体" w:cs="宋体"/>
          <w:iCs/>
          <w:sz w:val="44"/>
          <w:szCs w:val="44"/>
          <w:highlight w:val="none"/>
        </w:rPr>
      </w:pPr>
      <w:r>
        <w:rPr>
          <w:rFonts w:hint="eastAsia" w:ascii="宋体" w:hAnsi="宋体" w:eastAsia="宋体" w:cs="宋体"/>
          <w:iCs/>
          <w:sz w:val="44"/>
          <w:szCs w:val="44"/>
          <w:highlight w:val="none"/>
        </w:rPr>
        <w:br w:type="page"/>
      </w:r>
    </w:p>
    <w:p>
      <w:pPr>
        <w:adjustRightInd w:val="0"/>
        <w:snapToGrid w:val="0"/>
        <w:spacing w:line="580" w:lineRule="exact"/>
        <w:jc w:val="left"/>
        <w:outlineLvl w:val="1"/>
        <w:rPr>
          <w:rFonts w:hint="eastAsia" w:ascii="黑体" w:hAnsi="黑体" w:eastAsia="黑体" w:cs="黑体"/>
          <w:iCs/>
          <w:sz w:val="32"/>
          <w:szCs w:val="32"/>
          <w:highlight w:val="none"/>
          <w:lang w:val="en-US" w:eastAsia="zh-CN"/>
        </w:rPr>
      </w:pPr>
      <w:r>
        <w:rPr>
          <w:rFonts w:hint="eastAsia" w:ascii="黑体" w:hAnsi="黑体" w:eastAsia="黑体" w:cs="黑体"/>
          <w:iCs/>
          <w:sz w:val="32"/>
          <w:szCs w:val="32"/>
          <w:highlight w:val="none"/>
          <w:lang w:val="en-US" w:eastAsia="zh-CN"/>
        </w:rPr>
        <w:t>附件1</w:t>
      </w:r>
    </w:p>
    <w:p>
      <w:pPr>
        <w:adjustRightInd w:val="0"/>
        <w:snapToGrid w:val="0"/>
        <w:spacing w:line="580" w:lineRule="exact"/>
        <w:jc w:val="center"/>
        <w:outlineLvl w:val="1"/>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iCs/>
          <w:sz w:val="44"/>
          <w:szCs w:val="44"/>
          <w:highlight w:val="none"/>
        </w:rPr>
        <w:t>维修</w:t>
      </w:r>
      <w:r>
        <w:rPr>
          <w:rFonts w:hint="eastAsia" w:ascii="方正小标宋简体" w:hAnsi="方正小标宋简体" w:eastAsia="方正小标宋简体" w:cs="方正小标宋简体"/>
          <w:sz w:val="44"/>
          <w:szCs w:val="44"/>
          <w:highlight w:val="none"/>
        </w:rPr>
        <w:t>质量保修书</w:t>
      </w:r>
      <w:bookmarkEnd w:id="14"/>
      <w:bookmarkEnd w:id="15"/>
    </w:p>
    <w:p>
      <w:pPr>
        <w:adjustRightInd w:val="0"/>
        <w:snapToGrid w:val="0"/>
        <w:spacing w:line="580" w:lineRule="exact"/>
        <w:jc w:val="center"/>
        <w:rPr>
          <w:rFonts w:ascii="宋体" w:hAnsi="宋体" w:cs="宋体"/>
          <w:b/>
          <w:sz w:val="21"/>
          <w:szCs w:val="21"/>
          <w:highlight w:val="none"/>
        </w:rPr>
      </w:pPr>
    </w:p>
    <w:p>
      <w:pPr>
        <w:spacing w:line="580" w:lineRule="exact"/>
        <w:ind w:firstLine="800" w:firstLineChars="25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甲方（发包人）：</w:t>
      </w:r>
      <w:r>
        <w:rPr>
          <w:rFonts w:hint="eastAsia" w:ascii="仿宋_GB2312" w:hAnsi="宋体" w:eastAsia="仿宋_GB2312" w:cs="宋体"/>
          <w:iCs/>
          <w:sz w:val="32"/>
          <w:szCs w:val="32"/>
          <w:highlight w:val="none"/>
          <w:u w:val="single"/>
        </w:rPr>
        <w:t>广州市城壹物业发展有限公司</w:t>
      </w:r>
    </w:p>
    <w:p>
      <w:pPr>
        <w:spacing w:line="580" w:lineRule="exact"/>
        <w:ind w:firstLine="800" w:firstLineChars="25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乙方（承包人）：</w:t>
      </w:r>
      <w:r>
        <w:rPr>
          <w:rFonts w:hint="eastAsia" w:ascii="仿宋_GB2312" w:hAnsi="宋体" w:eastAsia="仿宋_GB2312" w:cs="宋体"/>
          <w:iCs/>
          <w:sz w:val="32"/>
          <w:szCs w:val="32"/>
          <w:highlight w:val="none"/>
          <w:u w:val="single"/>
        </w:rPr>
        <w:t xml:space="preserve">                          </w:t>
      </w:r>
      <w:r>
        <w:rPr>
          <w:rFonts w:hint="eastAsia" w:ascii="仿宋_GB2312" w:hAnsi="宋体" w:eastAsia="仿宋_GB2312" w:cs="宋体"/>
          <w:iCs/>
          <w:sz w:val="32"/>
          <w:szCs w:val="32"/>
          <w:highlight w:val="none"/>
        </w:rPr>
        <w:t xml:space="preserve"> </w:t>
      </w:r>
    </w:p>
    <w:p>
      <w:pPr>
        <w:spacing w:line="580" w:lineRule="exact"/>
        <w:ind w:firstLine="800" w:firstLineChars="25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为保证</w:t>
      </w:r>
      <w:r>
        <w:rPr>
          <w:rFonts w:hint="eastAsia" w:ascii="仿宋_GB2312" w:hAnsi="宋体" w:eastAsia="仿宋_GB2312" w:cs="宋体"/>
          <w:sz w:val="32"/>
          <w:szCs w:val="32"/>
          <w:highlight w:val="none"/>
          <w:u w:val="single"/>
          <w:lang w:val="en-US" w:eastAsia="zh-CN"/>
        </w:rPr>
        <w:t xml:space="preserve">                       </w:t>
      </w:r>
      <w:r>
        <w:rPr>
          <w:rFonts w:hint="eastAsia" w:ascii="仿宋_GB2312" w:hAnsi="宋体" w:eastAsia="仿宋_GB2312" w:cs="宋体"/>
          <w:iCs/>
          <w:sz w:val="32"/>
          <w:szCs w:val="32"/>
          <w:highlight w:val="none"/>
        </w:rPr>
        <w:t>（项目名称）在合理使用期限内正常使用，合同双方当事人根据《中华人民共和国建筑法》、《建设工程质量管理条例》和《房屋建筑工程质量保修办法》等规定，经协商一致，订立本质量保修书。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580" w:lineRule="exact"/>
        <w:ind w:firstLine="640" w:firstLineChars="200"/>
        <w:rPr>
          <w:rFonts w:ascii="黑体" w:hAnsi="黑体" w:eastAsia="黑体" w:cs="宋体"/>
          <w:iCs/>
          <w:sz w:val="32"/>
          <w:szCs w:val="32"/>
          <w:highlight w:val="none"/>
        </w:rPr>
      </w:pPr>
      <w:r>
        <w:rPr>
          <w:rFonts w:hint="eastAsia" w:ascii="黑体" w:hAnsi="黑体" w:eastAsia="黑体" w:cs="宋体"/>
          <w:iCs/>
          <w:sz w:val="32"/>
          <w:szCs w:val="32"/>
          <w:highlight w:val="none"/>
        </w:rPr>
        <w:t>一、质量保修范围</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质量保修范围包括地基基础项目、主体结构项目、屋面防水项目、有防水要求的卫生间、房间、外墙面的防渗漏项目、电气管线项目、给排水管道项目、设备安装项目、供热、供冷系统项目、装饰装修项目以及双方约定其他项目。具体质量保修范围，合同双方当事人约定如下：即承包人维修的项目范围。</w:t>
      </w:r>
    </w:p>
    <w:p>
      <w:pPr>
        <w:adjustRightInd w:val="0"/>
        <w:snapToGrid w:val="0"/>
        <w:spacing w:line="580" w:lineRule="exact"/>
        <w:ind w:firstLine="640" w:firstLineChars="200"/>
        <w:rPr>
          <w:rFonts w:ascii="黑体" w:hAnsi="黑体" w:eastAsia="黑体" w:cs="宋体"/>
          <w:iCs/>
          <w:sz w:val="32"/>
          <w:szCs w:val="32"/>
          <w:highlight w:val="none"/>
        </w:rPr>
      </w:pPr>
      <w:r>
        <w:rPr>
          <w:rFonts w:hint="eastAsia" w:ascii="黑体" w:hAnsi="黑体" w:eastAsia="黑体" w:cs="宋体"/>
          <w:iCs/>
          <w:sz w:val="32"/>
          <w:szCs w:val="32"/>
          <w:highlight w:val="none"/>
        </w:rPr>
        <w:t>二、质量保修期</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1.质量保修期从工程实际竣工之日算起。单项竣工验收的工程，按单项工程分别计算质量保修期。</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2.合同工程质量保修期，合同双方当事人约定如下：</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1）地基基础项目、主体结构项目为设计文件规定的合理使用年限；</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2）屋面防水项目、有防水要求的卫生间、房间和外墙面的防渗漏项目为</w:t>
      </w:r>
      <w:r>
        <w:rPr>
          <w:rFonts w:hint="eastAsia" w:ascii="仿宋_GB2312" w:hAnsi="宋体" w:eastAsia="仿宋_GB2312" w:cs="宋体"/>
          <w:iCs/>
          <w:sz w:val="32"/>
          <w:szCs w:val="32"/>
          <w:highlight w:val="none"/>
          <w:u w:val="single"/>
        </w:rPr>
        <w:t>五</w:t>
      </w:r>
      <w:r>
        <w:rPr>
          <w:rFonts w:hint="eastAsia" w:ascii="仿宋_GB2312" w:hAnsi="宋体" w:eastAsia="仿宋_GB2312" w:cs="宋体"/>
          <w:iCs/>
          <w:sz w:val="32"/>
          <w:szCs w:val="32"/>
          <w:highlight w:val="none"/>
        </w:rPr>
        <w:t>年；</w:t>
      </w:r>
    </w:p>
    <w:p>
      <w:pPr>
        <w:adjustRightInd w:val="0"/>
        <w:snapToGrid w:val="0"/>
        <w:spacing w:line="580" w:lineRule="exact"/>
        <w:ind w:firstLine="320" w:firstLineChars="1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 xml:space="preserve">  3）电气管线项目、给排水管道项目、设备安装项目为</w:t>
      </w:r>
      <w:r>
        <w:rPr>
          <w:rFonts w:hint="eastAsia" w:ascii="仿宋_GB2312" w:hAnsi="宋体" w:eastAsia="仿宋_GB2312" w:cs="宋体"/>
          <w:iCs/>
          <w:sz w:val="32"/>
          <w:szCs w:val="32"/>
          <w:highlight w:val="none"/>
          <w:u w:val="single"/>
        </w:rPr>
        <w:t>两</w:t>
      </w:r>
      <w:r>
        <w:rPr>
          <w:rFonts w:hint="eastAsia" w:ascii="仿宋_GB2312" w:hAnsi="宋体" w:eastAsia="仿宋_GB2312" w:cs="宋体"/>
          <w:iCs/>
          <w:sz w:val="32"/>
          <w:szCs w:val="32"/>
          <w:highlight w:val="none"/>
        </w:rPr>
        <w:t>年；</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4）供热、供冷系统项目为</w:t>
      </w:r>
      <w:r>
        <w:rPr>
          <w:rFonts w:hint="eastAsia" w:ascii="仿宋_GB2312" w:hAnsi="宋体" w:eastAsia="仿宋_GB2312" w:cs="宋体"/>
          <w:iCs/>
          <w:sz w:val="32"/>
          <w:szCs w:val="32"/>
          <w:highlight w:val="none"/>
          <w:u w:val="single"/>
        </w:rPr>
        <w:t>两</w:t>
      </w:r>
      <w:r>
        <w:rPr>
          <w:rFonts w:hint="eastAsia" w:ascii="仿宋_GB2312" w:hAnsi="宋体" w:eastAsia="仿宋_GB2312" w:cs="宋体"/>
          <w:iCs/>
          <w:sz w:val="32"/>
          <w:szCs w:val="32"/>
          <w:highlight w:val="none"/>
        </w:rPr>
        <w:t>个采暖期、供冷期；</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5）装饰装修项目为</w:t>
      </w:r>
      <w:r>
        <w:rPr>
          <w:rFonts w:hint="eastAsia" w:ascii="仿宋_GB2312" w:hAnsi="宋体" w:eastAsia="仿宋_GB2312" w:cs="宋体"/>
          <w:iCs/>
          <w:sz w:val="32"/>
          <w:szCs w:val="32"/>
          <w:highlight w:val="none"/>
          <w:u w:val="single"/>
        </w:rPr>
        <w:t>两</w:t>
      </w:r>
      <w:r>
        <w:rPr>
          <w:rFonts w:hint="eastAsia" w:ascii="仿宋_GB2312" w:hAnsi="宋体" w:eastAsia="仿宋_GB2312" w:cs="宋体"/>
          <w:iCs/>
          <w:sz w:val="32"/>
          <w:szCs w:val="32"/>
          <w:highlight w:val="none"/>
        </w:rPr>
        <w:t>年；</w:t>
      </w:r>
    </w:p>
    <w:p>
      <w:pPr>
        <w:adjustRightInd w:val="0"/>
        <w:snapToGrid w:val="0"/>
        <w:spacing w:line="580" w:lineRule="exact"/>
        <w:ind w:firstLine="640" w:firstLineChars="200"/>
        <w:jc w:val="both"/>
        <w:rPr>
          <w:rFonts w:ascii="宋体" w:hAnsi="宋体" w:cs="宋体"/>
          <w:iCs/>
          <w:sz w:val="21"/>
          <w:szCs w:val="21"/>
          <w:highlight w:val="none"/>
        </w:rPr>
      </w:pPr>
      <w:r>
        <w:rPr>
          <w:rFonts w:hint="eastAsia" w:ascii="仿宋_GB2312" w:hAnsi="宋体" w:eastAsia="仿宋_GB2312" w:cs="宋体"/>
          <w:iCs/>
          <w:sz w:val="32"/>
          <w:szCs w:val="32"/>
          <w:highlight w:val="none"/>
        </w:rPr>
        <w:t>6）其他项目</w:t>
      </w:r>
      <w:r>
        <w:rPr>
          <w:rFonts w:hint="eastAsia" w:ascii="仿宋_GB2312" w:hAnsi="宋体" w:eastAsia="仿宋_GB2312" w:cs="宋体"/>
          <w:iCs/>
          <w:sz w:val="32"/>
          <w:szCs w:val="32"/>
          <w:highlight w:val="none"/>
          <w:u w:val="single"/>
        </w:rPr>
        <w:t xml:space="preserve">         /                 </w:t>
      </w:r>
      <w:r>
        <w:rPr>
          <w:rFonts w:hint="eastAsia" w:ascii="仿宋_GB2312" w:hAnsi="宋体" w:eastAsia="仿宋_GB2312" w:cs="宋体"/>
          <w:iCs/>
          <w:sz w:val="32"/>
          <w:szCs w:val="32"/>
          <w:highlight w:val="none"/>
        </w:rPr>
        <w:t>。</w:t>
      </w:r>
    </w:p>
    <w:p>
      <w:pPr>
        <w:adjustRightInd w:val="0"/>
        <w:snapToGrid w:val="0"/>
        <w:spacing w:line="580" w:lineRule="exact"/>
        <w:ind w:firstLine="640" w:firstLineChars="200"/>
        <w:rPr>
          <w:rFonts w:ascii="黑体" w:hAnsi="黑体" w:eastAsia="黑体" w:cs="宋体"/>
          <w:iCs/>
          <w:sz w:val="32"/>
          <w:szCs w:val="32"/>
          <w:highlight w:val="none"/>
        </w:rPr>
      </w:pPr>
      <w:r>
        <w:rPr>
          <w:rFonts w:hint="eastAsia" w:ascii="黑体" w:hAnsi="黑体" w:eastAsia="黑体" w:cs="宋体"/>
          <w:iCs/>
          <w:sz w:val="32"/>
          <w:szCs w:val="32"/>
          <w:highlight w:val="none"/>
        </w:rPr>
        <w:t>三、质量保修责任</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1.属于保修范围的项目，承包人应在接到发包人通知后的 7 天内派人保修。承包人未能在规定时间内派人保修的，发包人可自行或委托第三方保修。</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2.发生紧急抢修事故的，承包人在接到通知后，应立即到达事故现场抢修。</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3.在国家规定的合理使用期限内，承包人应确保地基基础工程和主体结构的质量和安全。凡出现其质量问题，应立即报告当地建设行政主管部门，经设计人提出保修方案后，承包人应立即实施保修。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4.质量保修完成后，由发包人组织验收。</w:t>
      </w:r>
    </w:p>
    <w:p>
      <w:pPr>
        <w:adjustRightInd w:val="0"/>
        <w:snapToGrid w:val="0"/>
        <w:spacing w:line="580" w:lineRule="exact"/>
        <w:ind w:firstLine="640" w:firstLineChars="200"/>
        <w:jc w:val="both"/>
        <w:rPr>
          <w:rFonts w:ascii="黑体" w:hAnsi="黑体" w:eastAsia="黑体" w:cs="宋体"/>
          <w:iCs/>
          <w:sz w:val="32"/>
          <w:szCs w:val="32"/>
          <w:highlight w:val="none"/>
        </w:rPr>
      </w:pPr>
      <w:r>
        <w:rPr>
          <w:rFonts w:hint="eastAsia" w:ascii="黑体" w:hAnsi="黑体" w:eastAsia="黑体" w:cs="宋体"/>
          <w:iCs/>
          <w:sz w:val="32"/>
          <w:szCs w:val="32"/>
          <w:highlight w:val="none"/>
        </w:rPr>
        <w:t>四、质量保修费用</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质量保修等费用，由责任方承担。</w:t>
      </w:r>
    </w:p>
    <w:p>
      <w:pPr>
        <w:adjustRightInd w:val="0"/>
        <w:snapToGrid w:val="0"/>
        <w:spacing w:line="580" w:lineRule="exact"/>
        <w:ind w:firstLine="640" w:firstLineChars="200"/>
        <w:rPr>
          <w:rFonts w:ascii="黑体" w:hAnsi="黑体" w:eastAsia="黑体" w:cs="宋体"/>
          <w:iCs/>
          <w:sz w:val="32"/>
          <w:szCs w:val="32"/>
          <w:highlight w:val="none"/>
        </w:rPr>
      </w:pPr>
      <w:r>
        <w:rPr>
          <w:rFonts w:hint="eastAsia" w:ascii="黑体" w:hAnsi="黑体" w:eastAsia="黑体" w:cs="宋体"/>
          <w:iCs/>
          <w:sz w:val="32"/>
          <w:szCs w:val="32"/>
          <w:highlight w:val="none"/>
        </w:rPr>
        <w:t>五、其他</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1.合同双方当事人约定的其他质量保修事项：</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2.本质量保修书，由合同双方当事人在承包人向发包人提交竣工验收申请报告时签署，作为本合同的附件。</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3.本质量保修书，自合同双方当事人签署之日起生效，至质量保修期满后失效。</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4.本合同一式捌份，甲方执肆份，乙方执肆份。</w:t>
      </w:r>
    </w:p>
    <w:p>
      <w:pPr>
        <w:adjustRightInd w:val="0"/>
        <w:snapToGrid w:val="0"/>
        <w:spacing w:line="580" w:lineRule="exact"/>
        <w:ind w:firstLine="640" w:firstLineChars="200"/>
        <w:jc w:val="both"/>
        <w:rPr>
          <w:rFonts w:ascii="仿宋_GB2312" w:hAnsi="宋体" w:eastAsia="仿宋_GB2312" w:cs="宋体"/>
          <w:iCs/>
          <w:sz w:val="32"/>
          <w:szCs w:val="32"/>
          <w:highlight w:val="none"/>
        </w:rPr>
      </w:pPr>
    </w:p>
    <w:p>
      <w:pPr>
        <w:adjustRightInd w:val="0"/>
        <w:snapToGrid w:val="0"/>
        <w:spacing w:line="580" w:lineRule="exact"/>
        <w:jc w:val="both"/>
        <w:rPr>
          <w:rFonts w:ascii="仿宋_GB2312" w:hAnsi="宋体" w:eastAsia="仿宋_GB2312" w:cs="宋体"/>
          <w:iCs/>
          <w:sz w:val="32"/>
          <w:szCs w:val="32"/>
          <w:highlight w:val="none"/>
        </w:rPr>
      </w:pPr>
    </w:p>
    <w:tbl>
      <w:tblPr>
        <w:tblStyle w:val="16"/>
        <w:tblW w:w="9493" w:type="dxa"/>
        <w:jc w:val="center"/>
        <w:tblLayout w:type="autofit"/>
        <w:tblCellMar>
          <w:top w:w="0" w:type="dxa"/>
          <w:left w:w="108" w:type="dxa"/>
          <w:bottom w:w="0" w:type="dxa"/>
          <w:right w:w="108" w:type="dxa"/>
        </w:tblCellMar>
      </w:tblPr>
      <w:tblGrid>
        <w:gridCol w:w="5240"/>
        <w:gridCol w:w="4253"/>
      </w:tblGrid>
      <w:tr>
        <w:tblPrEx>
          <w:tblCellMar>
            <w:top w:w="0" w:type="dxa"/>
            <w:left w:w="108" w:type="dxa"/>
            <w:bottom w:w="0" w:type="dxa"/>
            <w:right w:w="108" w:type="dxa"/>
          </w:tblCellMar>
        </w:tblPrEx>
        <w:trPr>
          <w:trHeight w:val="615" w:hRule="atLeast"/>
          <w:jc w:val="center"/>
        </w:trPr>
        <w:tc>
          <w:tcPr>
            <w:tcW w:w="5240" w:type="dxa"/>
          </w:tcPr>
          <w:p>
            <w:pPr>
              <w:adjustRightInd w:val="0"/>
              <w:snapToGrid w:val="0"/>
              <w:spacing w:line="580" w:lineRule="exact"/>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甲方：（盖章）</w:t>
            </w:r>
          </w:p>
          <w:p>
            <w:pPr>
              <w:adjustRightInd w:val="0"/>
              <w:snapToGrid w:val="0"/>
              <w:spacing w:line="580" w:lineRule="exact"/>
              <w:rPr>
                <w:rFonts w:ascii="宋体" w:hAnsi="宋体" w:cs="宋体"/>
                <w:iCs/>
                <w:sz w:val="21"/>
                <w:szCs w:val="21"/>
                <w:highlight w:val="none"/>
              </w:rPr>
            </w:pPr>
          </w:p>
        </w:tc>
        <w:tc>
          <w:tcPr>
            <w:tcW w:w="4253" w:type="dxa"/>
          </w:tcPr>
          <w:p>
            <w:pPr>
              <w:adjustRightInd w:val="0"/>
              <w:snapToGrid w:val="0"/>
              <w:spacing w:line="580" w:lineRule="exact"/>
              <w:rPr>
                <w:rFonts w:ascii="宋体" w:hAnsi="宋体" w:cs="宋体"/>
                <w:iCs/>
                <w:sz w:val="21"/>
                <w:szCs w:val="21"/>
                <w:highlight w:val="none"/>
              </w:rPr>
            </w:pPr>
            <w:r>
              <w:rPr>
                <w:rFonts w:hint="eastAsia" w:ascii="仿宋_GB2312" w:hAnsi="宋体" w:eastAsia="仿宋_GB2312" w:cs="宋体"/>
                <w:iCs/>
                <w:sz w:val="32"/>
                <w:szCs w:val="32"/>
                <w:highlight w:val="none"/>
              </w:rPr>
              <w:t>乙方：（盖章）</w:t>
            </w:r>
          </w:p>
        </w:tc>
      </w:tr>
      <w:tr>
        <w:tblPrEx>
          <w:tblCellMar>
            <w:top w:w="0" w:type="dxa"/>
            <w:left w:w="108" w:type="dxa"/>
            <w:bottom w:w="0" w:type="dxa"/>
            <w:right w:w="108" w:type="dxa"/>
          </w:tblCellMar>
        </w:tblPrEx>
        <w:trPr>
          <w:trHeight w:val="480" w:hRule="atLeast"/>
          <w:jc w:val="center"/>
        </w:trPr>
        <w:tc>
          <w:tcPr>
            <w:tcW w:w="5240" w:type="dxa"/>
          </w:tcPr>
          <w:p>
            <w:pPr>
              <w:adjustRightInd w:val="0"/>
              <w:snapToGrid w:val="0"/>
              <w:spacing w:line="580" w:lineRule="exact"/>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法定代表人或授权代表：</w:t>
            </w:r>
            <w:r>
              <w:rPr>
                <w:rFonts w:ascii="仿宋_GB2312" w:hAnsi="宋体" w:eastAsia="仿宋_GB2312" w:cs="宋体"/>
                <w:iCs/>
                <w:sz w:val="32"/>
                <w:szCs w:val="32"/>
                <w:highlight w:val="none"/>
              </w:rPr>
              <w:br w:type="textWrapping"/>
            </w:r>
            <w:r>
              <w:rPr>
                <w:rFonts w:hint="eastAsia" w:ascii="仿宋_GB2312" w:hAnsi="宋体" w:eastAsia="仿宋_GB2312" w:cs="宋体"/>
                <w:iCs/>
                <w:sz w:val="32"/>
                <w:szCs w:val="32"/>
                <w:highlight w:val="none"/>
              </w:rPr>
              <w:t>（签字）</w:t>
            </w:r>
          </w:p>
        </w:tc>
        <w:tc>
          <w:tcPr>
            <w:tcW w:w="4253" w:type="dxa"/>
          </w:tcPr>
          <w:p>
            <w:pPr>
              <w:adjustRightInd w:val="0"/>
              <w:snapToGrid w:val="0"/>
              <w:spacing w:line="580" w:lineRule="exact"/>
              <w:rPr>
                <w:rFonts w:ascii="宋体" w:hAnsi="宋体" w:cs="宋体"/>
                <w:iCs/>
                <w:sz w:val="21"/>
                <w:szCs w:val="21"/>
                <w:highlight w:val="none"/>
              </w:rPr>
            </w:pPr>
            <w:r>
              <w:rPr>
                <w:rFonts w:hint="eastAsia" w:ascii="仿宋_GB2312" w:hAnsi="宋体" w:eastAsia="仿宋_GB2312" w:cs="宋体"/>
                <w:iCs/>
                <w:sz w:val="32"/>
                <w:szCs w:val="32"/>
                <w:highlight w:val="none"/>
              </w:rPr>
              <w:t>法定代表人或授权代表：（签字）</w:t>
            </w:r>
          </w:p>
        </w:tc>
      </w:tr>
      <w:tr>
        <w:tblPrEx>
          <w:tblCellMar>
            <w:top w:w="0" w:type="dxa"/>
            <w:left w:w="108" w:type="dxa"/>
            <w:bottom w:w="0" w:type="dxa"/>
            <w:right w:w="108" w:type="dxa"/>
          </w:tblCellMar>
        </w:tblPrEx>
        <w:trPr>
          <w:trHeight w:val="615" w:hRule="atLeast"/>
          <w:jc w:val="center"/>
        </w:trPr>
        <w:tc>
          <w:tcPr>
            <w:tcW w:w="5240" w:type="dxa"/>
          </w:tcPr>
          <w:p>
            <w:pPr>
              <w:adjustRightInd w:val="0"/>
              <w:snapToGrid w:val="0"/>
              <w:spacing w:line="580" w:lineRule="exact"/>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联系电话：</w:t>
            </w:r>
          </w:p>
          <w:p>
            <w:pPr>
              <w:adjustRightInd w:val="0"/>
              <w:snapToGrid w:val="0"/>
              <w:spacing w:line="580" w:lineRule="exact"/>
              <w:rPr>
                <w:rFonts w:ascii="宋体" w:hAnsi="宋体" w:cs="宋体"/>
                <w:iCs/>
                <w:sz w:val="21"/>
                <w:szCs w:val="21"/>
                <w:highlight w:val="none"/>
              </w:rPr>
            </w:pPr>
          </w:p>
        </w:tc>
        <w:tc>
          <w:tcPr>
            <w:tcW w:w="4253" w:type="dxa"/>
          </w:tcPr>
          <w:p>
            <w:pPr>
              <w:adjustRightInd w:val="0"/>
              <w:snapToGrid w:val="0"/>
              <w:spacing w:line="580" w:lineRule="exact"/>
              <w:rPr>
                <w:rFonts w:ascii="宋体" w:hAnsi="宋体" w:cs="宋体"/>
                <w:iCs/>
                <w:sz w:val="21"/>
                <w:szCs w:val="21"/>
                <w:highlight w:val="none"/>
              </w:rPr>
            </w:pPr>
            <w:r>
              <w:rPr>
                <w:rFonts w:hint="eastAsia" w:ascii="仿宋_GB2312" w:hAnsi="宋体" w:eastAsia="仿宋_GB2312" w:cs="宋体"/>
                <w:iCs/>
                <w:sz w:val="32"/>
                <w:szCs w:val="32"/>
                <w:highlight w:val="none"/>
              </w:rPr>
              <w:t>联系电话：</w:t>
            </w:r>
          </w:p>
        </w:tc>
      </w:tr>
      <w:tr>
        <w:tblPrEx>
          <w:tblCellMar>
            <w:top w:w="0" w:type="dxa"/>
            <w:left w:w="108" w:type="dxa"/>
            <w:bottom w:w="0" w:type="dxa"/>
            <w:right w:w="108" w:type="dxa"/>
          </w:tblCellMar>
        </w:tblPrEx>
        <w:trPr>
          <w:trHeight w:val="615" w:hRule="atLeast"/>
          <w:jc w:val="center"/>
        </w:trPr>
        <w:tc>
          <w:tcPr>
            <w:tcW w:w="5240" w:type="dxa"/>
          </w:tcPr>
          <w:p>
            <w:pPr>
              <w:adjustRightInd w:val="0"/>
              <w:snapToGrid w:val="0"/>
              <w:spacing w:line="580" w:lineRule="exact"/>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签约时间：    年    月    日</w:t>
            </w:r>
          </w:p>
          <w:p>
            <w:pPr>
              <w:adjustRightInd w:val="0"/>
              <w:snapToGrid w:val="0"/>
              <w:spacing w:line="580" w:lineRule="exact"/>
              <w:rPr>
                <w:rFonts w:ascii="仿宋_GB2312" w:hAnsi="宋体" w:eastAsia="仿宋_GB2312" w:cs="宋体"/>
                <w:iCs/>
                <w:sz w:val="32"/>
                <w:szCs w:val="32"/>
                <w:highlight w:val="none"/>
              </w:rPr>
            </w:pPr>
          </w:p>
        </w:tc>
        <w:tc>
          <w:tcPr>
            <w:tcW w:w="4253" w:type="dxa"/>
          </w:tcPr>
          <w:p>
            <w:pPr>
              <w:adjustRightInd w:val="0"/>
              <w:snapToGrid w:val="0"/>
              <w:spacing w:line="580" w:lineRule="exact"/>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签约时间： 年    月    日</w:t>
            </w:r>
          </w:p>
        </w:tc>
      </w:tr>
    </w:tbl>
    <w:p>
      <w:pPr>
        <w:spacing w:line="580" w:lineRule="exact"/>
        <w:rPr>
          <w:highlight w:val="none"/>
        </w:rPr>
      </w:pPr>
    </w:p>
    <w:p>
      <w:pPr>
        <w:spacing w:line="580" w:lineRule="exact"/>
        <w:rPr>
          <w:rFonts w:ascii="仿宋_GB2312" w:hAnsi="仿宋" w:eastAsia="仿宋_GB2312"/>
          <w:sz w:val="28"/>
          <w:szCs w:val="28"/>
          <w:highlight w:val="none"/>
        </w:rPr>
      </w:pPr>
      <w:r>
        <w:rPr>
          <w:rFonts w:hint="eastAsia" w:ascii="宋体" w:hAnsi="宋体" w:cs="宋体"/>
          <w:b/>
          <w:sz w:val="21"/>
          <w:szCs w:val="21"/>
          <w:highlight w:val="none"/>
        </w:rPr>
        <w:br w:type="page"/>
      </w:r>
      <w:bookmarkEnd w:id="16"/>
    </w:p>
    <w:p>
      <w:pPr>
        <w:adjustRightInd w:val="0"/>
        <w:snapToGrid w:val="0"/>
        <w:spacing w:line="580" w:lineRule="exact"/>
        <w:jc w:val="left"/>
        <w:outlineLvl w:val="1"/>
        <w:rPr>
          <w:rFonts w:hint="default" w:ascii="黑体" w:hAnsi="黑体" w:eastAsia="黑体" w:cs="黑体"/>
          <w:iCs/>
          <w:sz w:val="32"/>
          <w:szCs w:val="32"/>
          <w:highlight w:val="none"/>
          <w:lang w:val="en-US" w:eastAsia="zh-CN"/>
        </w:rPr>
      </w:pPr>
      <w:r>
        <w:rPr>
          <w:rFonts w:hint="eastAsia" w:ascii="黑体" w:hAnsi="黑体" w:eastAsia="黑体" w:cs="黑体"/>
          <w:iCs/>
          <w:sz w:val="32"/>
          <w:szCs w:val="32"/>
          <w:highlight w:val="none"/>
          <w:lang w:val="en-US" w:eastAsia="zh-CN"/>
        </w:rPr>
        <w:t>附件2</w:t>
      </w:r>
    </w:p>
    <w:p>
      <w:pPr>
        <w:spacing w:line="580" w:lineRule="exact"/>
        <w:rPr>
          <w:rFonts w:hint="eastAsia" w:ascii="仿宋_GB2312" w:eastAsia="仿宋_GB2312"/>
          <w:b w:val="0"/>
          <w:bCs w:val="0"/>
          <w:sz w:val="32"/>
          <w:szCs w:val="32"/>
          <w:highlight w:val="none"/>
        </w:rPr>
      </w:pPr>
      <w:r>
        <w:rPr>
          <w:rFonts w:hint="eastAsia" w:ascii="仿宋_GB2312" w:hAnsi="华文楷体" w:eastAsia="仿宋_GB2312" w:cs="华文楷体"/>
          <w:b w:val="0"/>
          <w:bCs w:val="0"/>
          <w:sz w:val="32"/>
          <w:szCs w:val="32"/>
          <w:highlight w:val="none"/>
        </w:rPr>
        <w:t>对应合同编号：</w:t>
      </w:r>
      <w:r>
        <w:rPr>
          <w:rFonts w:hint="eastAsia" w:ascii="仿宋_GB2312" w:hAnsi="华文楷体" w:eastAsia="仿宋_GB2312" w:cs="华文楷体"/>
          <w:b w:val="0"/>
          <w:bCs w:val="0"/>
          <w:sz w:val="32"/>
          <w:szCs w:val="32"/>
          <w:highlight w:val="none"/>
          <w:u w:val="single"/>
        </w:rPr>
        <w:t xml:space="preserve">                </w:t>
      </w:r>
      <w:r>
        <w:rPr>
          <w:rFonts w:hint="eastAsia" w:ascii="仿宋_GB2312" w:eastAsia="仿宋_GB2312"/>
          <w:b w:val="0"/>
          <w:bCs w:val="0"/>
          <w:sz w:val="32"/>
          <w:szCs w:val="32"/>
          <w:highlight w:val="none"/>
        </w:rPr>
        <w:t xml:space="preserve"> </w:t>
      </w:r>
    </w:p>
    <w:p>
      <w:pPr>
        <w:pStyle w:val="2"/>
        <w:rPr>
          <w:highlight w:val="none"/>
        </w:rPr>
      </w:pPr>
    </w:p>
    <w:p>
      <w:pPr>
        <w:spacing w:line="5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廉洁协议书</w:t>
      </w:r>
    </w:p>
    <w:p>
      <w:pPr>
        <w:spacing w:line="580" w:lineRule="exact"/>
        <w:ind w:firstLine="640" w:firstLineChars="200"/>
        <w:rPr>
          <w:rFonts w:ascii="仿宋_GB2312" w:hAnsi="华文楷体" w:eastAsia="仿宋_GB2312"/>
          <w:sz w:val="32"/>
          <w:szCs w:val="32"/>
          <w:highlight w:val="none"/>
        </w:rPr>
      </w:pPr>
      <w:r>
        <w:rPr>
          <w:rFonts w:hint="eastAsia" w:ascii="仿宋_GB2312" w:hAnsi="华文楷体" w:eastAsia="仿宋_GB2312"/>
          <w:sz w:val="32"/>
          <w:szCs w:val="32"/>
          <w:highlight w:val="none"/>
        </w:rPr>
        <w:t>甲方：</w:t>
      </w:r>
      <w:r>
        <w:rPr>
          <w:rFonts w:hint="eastAsia" w:ascii="仿宋_GB2312" w:hAnsi="华文楷体" w:eastAsia="仿宋_GB2312"/>
          <w:sz w:val="32"/>
          <w:szCs w:val="32"/>
          <w:highlight w:val="none"/>
          <w:u w:val="single"/>
        </w:rPr>
        <w:t>广州市城壹物业发展有限公司</w:t>
      </w:r>
    </w:p>
    <w:p>
      <w:pPr>
        <w:spacing w:line="580" w:lineRule="exact"/>
        <w:ind w:firstLine="640" w:firstLineChars="200"/>
        <w:rPr>
          <w:rFonts w:ascii="仿宋_GB2312" w:hAnsi="华文楷体" w:eastAsia="仿宋_GB2312"/>
          <w:sz w:val="32"/>
          <w:szCs w:val="32"/>
          <w:highlight w:val="none"/>
          <w:u w:val="single"/>
        </w:rPr>
      </w:pPr>
      <w:r>
        <w:rPr>
          <w:rFonts w:hint="eastAsia" w:ascii="仿宋_GB2312" w:hAnsi="华文楷体" w:eastAsia="仿宋_GB2312"/>
          <w:sz w:val="32"/>
          <w:szCs w:val="32"/>
          <w:highlight w:val="none"/>
        </w:rPr>
        <w:t>乙方：</w:t>
      </w:r>
      <w:r>
        <w:rPr>
          <w:rFonts w:hint="eastAsia" w:ascii="仿宋_GB2312" w:hAnsi="华文楷体" w:eastAsia="仿宋_GB2312"/>
          <w:sz w:val="32"/>
          <w:szCs w:val="32"/>
          <w:highlight w:val="none"/>
          <w:u w:val="single"/>
        </w:rPr>
        <w:t xml:space="preserve">                          </w:t>
      </w:r>
    </w:p>
    <w:p>
      <w:pPr>
        <w:spacing w:line="580" w:lineRule="exact"/>
        <w:ind w:firstLine="640" w:firstLineChars="200"/>
        <w:rPr>
          <w:rFonts w:ascii="仿宋_GB2312" w:hAnsi="华文楷体" w:eastAsia="仿宋_GB2312"/>
          <w:sz w:val="32"/>
          <w:szCs w:val="32"/>
          <w:highlight w:val="none"/>
        </w:rPr>
      </w:pPr>
    </w:p>
    <w:p>
      <w:pPr>
        <w:pStyle w:val="9"/>
        <w:spacing w:line="580" w:lineRule="exact"/>
        <w:ind w:firstLine="560"/>
        <w:rPr>
          <w:rFonts w:ascii="仿宋_GB2312" w:hAnsi="Times New Roman" w:eastAsia="仿宋_GB2312"/>
          <w:sz w:val="32"/>
          <w:szCs w:val="32"/>
          <w:highlight w:val="none"/>
        </w:rPr>
      </w:pPr>
      <w:r>
        <w:rPr>
          <w:rFonts w:hint="eastAsia" w:ascii="仿宋_GB2312" w:eastAsia="仿宋_GB2312" w:cs="仿宋_GB2312"/>
          <w:sz w:val="32"/>
          <w:szCs w:val="32"/>
          <w:highlight w:val="none"/>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pPr>
        <w:spacing w:line="580" w:lineRule="exact"/>
        <w:ind w:firstLine="640" w:firstLineChars="200"/>
        <w:rPr>
          <w:rFonts w:ascii="黑体" w:hAnsi="黑体" w:eastAsia="黑体"/>
          <w:sz w:val="32"/>
          <w:szCs w:val="32"/>
          <w:highlight w:val="none"/>
        </w:rPr>
      </w:pPr>
      <w:r>
        <w:rPr>
          <w:rFonts w:hint="eastAsia" w:ascii="黑体" w:hAnsi="黑体" w:eastAsia="黑体" w:cs="仿宋_GB2312"/>
          <w:sz w:val="32"/>
          <w:szCs w:val="32"/>
          <w:highlight w:val="none"/>
        </w:rPr>
        <w:t>第一条 甲、乙双方的共同责任</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（一）严格遵守国家关于市场准入、招标投标、工程建设、物资采购、投资并购、国有资产处置等市场经济活动的法律法规制度以及廉洁建设规定。</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（二）严格履行合同约定，自觉承担合同义务。</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三）业务活动必须坚持公平、公正、公开和诚实守信的原则（除法律法规另有规定者外），不得为获取不正当利益，损害国家、集体和对方利益，不违反招标投标、工程建设管理、物资采购、投资并购、国有资产处置等方面的规章制度。</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（四）建立健全自我制约制度，开展廉洁教育，公布举报电话，监督并认真查处违法违纪行为。</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（五）发现对方在业务活动中有违规、违纪、违法行为的，应及时提醒对方，情节严重的，应向有关纪检室举报。</w:t>
      </w:r>
    </w:p>
    <w:p>
      <w:pPr>
        <w:spacing w:line="580" w:lineRule="exact"/>
        <w:ind w:firstLine="640" w:firstLineChars="200"/>
        <w:rPr>
          <w:rFonts w:ascii="黑体" w:hAnsi="黑体" w:eastAsia="黑体"/>
          <w:sz w:val="32"/>
          <w:szCs w:val="32"/>
          <w:highlight w:val="none"/>
        </w:rPr>
      </w:pPr>
      <w:r>
        <w:rPr>
          <w:rFonts w:hint="eastAsia" w:ascii="黑体" w:hAnsi="黑体" w:eastAsia="黑体" w:cs="仿宋_GB2312"/>
          <w:sz w:val="32"/>
          <w:szCs w:val="32"/>
          <w:highlight w:val="none"/>
        </w:rPr>
        <w:t>第二条  甲方的责任</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甲方相关工作人员，在与乙方业务活动的事前、事中、事后，应遵守以下规定：</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（一）贯彻落实广州市城壹物业发展有限公司有关党风廉政建设责任制及廉洁从业的规定；</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（二）按照公平、公正、公开和诚实守信的原则开展各项业务活动；</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（三）</w:t>
      </w:r>
      <w:r>
        <w:rPr>
          <w:rFonts w:hint="eastAsia" w:ascii="仿宋_GB2312" w:eastAsia="仿宋_GB2312" w:cs="仿宋_GB2312"/>
          <w:color w:val="000000"/>
          <w:sz w:val="32"/>
          <w:szCs w:val="32"/>
          <w:highlight w:val="none"/>
        </w:rPr>
        <w:t>不准向</w:t>
      </w:r>
      <w:r>
        <w:rPr>
          <w:rFonts w:hint="eastAsia" w:ascii="仿宋_GB2312" w:eastAsia="仿宋_GB2312" w:cs="仿宋_GB2312"/>
          <w:sz w:val="32"/>
          <w:szCs w:val="32"/>
          <w:highlight w:val="none"/>
        </w:rPr>
        <w:t>乙方</w:t>
      </w:r>
      <w:r>
        <w:rPr>
          <w:rFonts w:hint="eastAsia" w:ascii="仿宋_GB2312" w:eastAsia="仿宋_GB2312" w:cs="仿宋_GB2312"/>
          <w:color w:val="000000"/>
          <w:sz w:val="32"/>
          <w:szCs w:val="32"/>
          <w:highlight w:val="none"/>
        </w:rPr>
        <w:t>泄漏涉及</w:t>
      </w:r>
      <w:r>
        <w:rPr>
          <w:rFonts w:hint="eastAsia" w:ascii="仿宋_GB2312" w:eastAsia="仿宋_GB2312" w:cs="仿宋_GB2312"/>
          <w:sz w:val="32"/>
          <w:szCs w:val="32"/>
          <w:highlight w:val="none"/>
        </w:rPr>
        <w:t>有关业务活动</w:t>
      </w:r>
      <w:r>
        <w:rPr>
          <w:rFonts w:hint="eastAsia" w:ascii="仿宋_GB2312" w:eastAsia="仿宋_GB2312" w:cs="仿宋_GB2312"/>
          <w:color w:val="000000"/>
          <w:sz w:val="32"/>
          <w:szCs w:val="32"/>
          <w:highlight w:val="none"/>
        </w:rPr>
        <w:t>的秘密，不准以谋取非正当利益为目的，擅自与乙方工作人员就业务问题达成利益默契；</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（四）不准向乙方和相关单位索要或接受回扣、红包、礼金、购物卡、有价证券、贵重物品和好处费、感谢费等；</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（五）不准在乙方和相关单位报销任何应由甲方或个人支付的费用；</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（六）不准要求、暗示或接受乙方和相关单位为个人装修住房、婚丧嫁娶、配偶子女的工作安排以及境内外旅游等提供方便；</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（七）不准向乙方介绍配偶、子女、亲属参与与甲方有关的经济活动，不得以任何理由向乙方和相关单位推荐第三方单位；</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（八）不准参与影响相关工作正常和公正开展的其他活动；</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（九）不准违反《中共中央纪委关于严格禁止利用职务上的便利谋取不正当利益的若干规定》的内容。</w:t>
      </w:r>
    </w:p>
    <w:p>
      <w:pPr>
        <w:spacing w:line="580" w:lineRule="exact"/>
        <w:ind w:firstLine="640" w:firstLineChars="200"/>
        <w:rPr>
          <w:rFonts w:ascii="黑体" w:hAnsi="黑体" w:eastAsia="黑体"/>
          <w:sz w:val="32"/>
          <w:szCs w:val="32"/>
          <w:highlight w:val="none"/>
        </w:rPr>
      </w:pPr>
      <w:r>
        <w:rPr>
          <w:rFonts w:hint="eastAsia" w:ascii="黑体" w:hAnsi="黑体" w:eastAsia="黑体" w:cs="仿宋_GB2312"/>
          <w:sz w:val="32"/>
          <w:szCs w:val="32"/>
          <w:highlight w:val="none"/>
        </w:rPr>
        <w:t>第三条 乙方的责任</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在与甲方业务交往过程中，按照有关法律法规和程序开展工作，严格执行国家的有关方针、政策，并遵守以下规定：</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（一）不准以任何理由为甲方和相关单位报销应由对方或个人支付的费用；</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（二）不准以任何理由向甲方负责人及其工作人员赠送回扣、红包、礼金、购物卡、有价证券、贵重物品和好处费、感谢费等；</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（三）不准以任何理由为甲方、与甲方相关的单位或个人提供高消费宴请及娱乐活动；</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（四）不准以任何理由为甲方、与甲方相关的单位或个人购置或提供通讯工具、交通工具和高档办公用品；</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（五）不准接受或暗示为甲方、与甲方相关的单位或个人装修住房、婚丧嫁取、配偶子女的工作安排以及境内外旅游等提供方便；</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（六）不准以谋取非正当利益为目的，擅自与甲方工作人员就业务问题进行私下商谈或者达成利益默契；</w:t>
      </w:r>
    </w:p>
    <w:p>
      <w:pPr>
        <w:spacing w:line="580" w:lineRule="exact"/>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（七）发现甲方工作人员有违反本廉洁协议书规定的，应向甲方单位举报（反映）。广州市城壹物业发展有限公司受理部门：纪检室；举报电话：</w:t>
      </w:r>
      <w:r>
        <w:rPr>
          <w:rFonts w:hint="eastAsia" w:ascii="仿宋_GB2312" w:eastAsia="仿宋_GB2312"/>
          <w:sz w:val="32"/>
          <w:szCs w:val="32"/>
          <w:highlight w:val="none"/>
        </w:rPr>
        <w:t>020-38939341</w:t>
      </w:r>
      <w:r>
        <w:rPr>
          <w:rFonts w:hint="eastAsia" w:ascii="仿宋_GB2312" w:eastAsia="仿宋_GB2312" w:cs="仿宋_GB2312"/>
          <w:sz w:val="32"/>
          <w:szCs w:val="32"/>
          <w:highlight w:val="none"/>
        </w:rPr>
        <w:t>；举报地址：广州市天河区车陂路113号东宏国际广场907室。</w:t>
      </w:r>
    </w:p>
    <w:p>
      <w:pPr>
        <w:spacing w:line="580" w:lineRule="exact"/>
        <w:ind w:firstLine="640" w:firstLineChars="200"/>
        <w:rPr>
          <w:rFonts w:ascii="黑体" w:hAnsi="黑体" w:eastAsia="黑体"/>
          <w:sz w:val="32"/>
          <w:szCs w:val="32"/>
          <w:highlight w:val="none"/>
        </w:rPr>
      </w:pPr>
      <w:r>
        <w:rPr>
          <w:rFonts w:hint="eastAsia" w:ascii="黑体" w:hAnsi="黑体" w:eastAsia="黑体" w:cs="仿宋_GB2312"/>
          <w:sz w:val="32"/>
          <w:szCs w:val="32"/>
          <w:highlight w:val="none"/>
        </w:rPr>
        <w:t>第四条 相关责任</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二）乙方违反本廉洁协议书第一、三条规定的，根据招投标等有关规定，对乙方进行处理；甲方有权终止与乙方的合同。涉嫌犯罪的，移送司法机关依法追究刑事责任；给甲方单位造成经济损失的，应依法予以赔偿。</w:t>
      </w:r>
    </w:p>
    <w:p>
      <w:pPr>
        <w:spacing w:line="580" w:lineRule="exact"/>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（三）乙方违反本廉洁协议书第一、三条规定，发生行贿行为，经有关执纪执法部门或甲方纪检机构查证属实，甲方对乙方实施3年的市场禁入。</w:t>
      </w:r>
    </w:p>
    <w:p>
      <w:pPr>
        <w:spacing w:line="580" w:lineRule="exact"/>
        <w:ind w:firstLine="640" w:firstLineChars="200"/>
        <w:rPr>
          <w:rFonts w:ascii="黑体" w:hAnsi="黑体" w:eastAsia="黑体"/>
          <w:sz w:val="32"/>
          <w:szCs w:val="32"/>
          <w:highlight w:val="none"/>
        </w:rPr>
      </w:pPr>
      <w:r>
        <w:rPr>
          <w:rFonts w:hint="eastAsia" w:ascii="黑体" w:hAnsi="黑体" w:eastAsia="黑体" w:cs="仿宋_GB2312"/>
          <w:sz w:val="32"/>
          <w:szCs w:val="32"/>
          <w:highlight w:val="none"/>
        </w:rPr>
        <w:t>第五条 协议书生效及法律效力</w:t>
      </w:r>
    </w:p>
    <w:p>
      <w:pPr>
        <w:spacing w:line="580" w:lineRule="exact"/>
        <w:ind w:firstLine="640" w:firstLineChars="200"/>
        <w:rPr>
          <w:rFonts w:ascii="仿宋_GB2312" w:eastAsia="仿宋_GB2312"/>
          <w:color w:val="000000"/>
          <w:sz w:val="32"/>
          <w:szCs w:val="32"/>
          <w:highlight w:val="none"/>
        </w:rPr>
      </w:pPr>
      <w:r>
        <w:rPr>
          <w:rFonts w:hint="eastAsia" w:ascii="仿宋_GB2312" w:eastAsia="仿宋_GB2312" w:cs="仿宋_GB2312"/>
          <w:sz w:val="32"/>
          <w:szCs w:val="32"/>
          <w:highlight w:val="none"/>
        </w:rPr>
        <w:t>（一）本廉洁协议书作为合同的附件，与合同具有同等法律效力，经</w:t>
      </w:r>
      <w:r>
        <w:rPr>
          <w:rFonts w:hint="eastAsia" w:ascii="仿宋_GB2312" w:eastAsia="仿宋_GB2312" w:cs="仿宋_GB2312"/>
          <w:color w:val="000000"/>
          <w:sz w:val="32"/>
          <w:szCs w:val="32"/>
          <w:highlight w:val="none"/>
        </w:rPr>
        <w:t>双方签字盖章后立即生效。</w:t>
      </w:r>
    </w:p>
    <w:p>
      <w:pPr>
        <w:pStyle w:val="9"/>
        <w:spacing w:line="580" w:lineRule="exact"/>
        <w:ind w:firstLine="560"/>
        <w:rPr>
          <w:rFonts w:ascii="仿宋_GB2312" w:eastAsia="仿宋_GB2312"/>
          <w:color w:val="000000"/>
          <w:sz w:val="32"/>
          <w:szCs w:val="32"/>
          <w:highlight w:val="none"/>
        </w:rPr>
      </w:pPr>
      <w:r>
        <w:rPr>
          <w:rFonts w:hint="eastAsia" w:ascii="仿宋_GB2312" w:eastAsia="仿宋_GB2312" w:cs="仿宋_GB2312"/>
          <w:sz w:val="32"/>
          <w:szCs w:val="32"/>
          <w:highlight w:val="none"/>
        </w:rPr>
        <w:t>（二）除非甲乙双方另行签订新的廉洁协议书，否则本廉洁协议书在甲方与乙方存在业务关系期间均对双方产生约束力。</w:t>
      </w:r>
    </w:p>
    <w:p>
      <w:pPr>
        <w:spacing w:line="580" w:lineRule="exact"/>
        <w:ind w:firstLine="640" w:firstLineChars="200"/>
        <w:rPr>
          <w:rFonts w:ascii="黑体" w:hAnsi="黑体" w:eastAsia="黑体"/>
          <w:color w:val="000000"/>
          <w:sz w:val="32"/>
          <w:szCs w:val="32"/>
          <w:highlight w:val="none"/>
        </w:rPr>
      </w:pPr>
      <w:r>
        <w:rPr>
          <w:rFonts w:hint="eastAsia" w:ascii="黑体" w:hAnsi="黑体" w:eastAsia="黑体" w:cs="仿宋_GB2312"/>
          <w:color w:val="000000"/>
          <w:sz w:val="32"/>
          <w:szCs w:val="32"/>
          <w:highlight w:val="none"/>
        </w:rPr>
        <w:t xml:space="preserve">第六条 </w:t>
      </w:r>
      <w:r>
        <w:rPr>
          <w:rFonts w:hint="eastAsia" w:ascii="黑体" w:hAnsi="黑体" w:eastAsia="黑体" w:cs="仿宋_GB2312"/>
          <w:sz w:val="32"/>
          <w:szCs w:val="32"/>
          <w:highlight w:val="none"/>
        </w:rPr>
        <w:t>协议书</w:t>
      </w:r>
      <w:r>
        <w:rPr>
          <w:rFonts w:hint="eastAsia" w:ascii="黑体" w:hAnsi="黑体" w:eastAsia="黑体" w:cs="仿宋_GB2312"/>
          <w:color w:val="000000"/>
          <w:sz w:val="32"/>
          <w:szCs w:val="32"/>
          <w:highlight w:val="none"/>
        </w:rPr>
        <w:t>份数</w:t>
      </w:r>
    </w:p>
    <w:p>
      <w:pPr>
        <w:spacing w:line="580" w:lineRule="exact"/>
        <w:ind w:firstLine="640" w:firstLineChars="200"/>
        <w:rPr>
          <w:rFonts w:ascii="仿宋_GB2312" w:eastAsia="仿宋_GB2312"/>
          <w:color w:val="000000"/>
          <w:sz w:val="32"/>
          <w:szCs w:val="32"/>
          <w:highlight w:val="none"/>
        </w:rPr>
      </w:pPr>
      <w:r>
        <w:rPr>
          <w:rFonts w:hint="eastAsia" w:ascii="仿宋_GB2312" w:eastAsia="仿宋_GB2312" w:cs="仿宋_GB2312"/>
          <w:sz w:val="32"/>
          <w:szCs w:val="32"/>
          <w:highlight w:val="none"/>
        </w:rPr>
        <w:t>本廉洁协议书一式</w:t>
      </w:r>
      <w:r>
        <w:rPr>
          <w:rFonts w:hint="eastAsia" w:ascii="仿宋_GB2312" w:eastAsia="仿宋_GB2312" w:cs="仿宋_GB2312"/>
          <w:sz w:val="32"/>
          <w:szCs w:val="32"/>
          <w:highlight w:val="none"/>
          <w:u w:val="single"/>
        </w:rPr>
        <w:t>陆</w:t>
      </w:r>
      <w:r>
        <w:rPr>
          <w:rFonts w:hint="eastAsia" w:ascii="仿宋_GB2312" w:eastAsia="仿宋_GB2312" w:cs="仿宋_GB2312"/>
          <w:sz w:val="32"/>
          <w:szCs w:val="32"/>
          <w:highlight w:val="none"/>
        </w:rPr>
        <w:t>份，甲方</w:t>
      </w:r>
      <w:r>
        <w:rPr>
          <w:rFonts w:hint="eastAsia" w:ascii="仿宋_GB2312" w:eastAsia="仿宋_GB2312" w:cs="仿宋_GB2312"/>
          <w:sz w:val="32"/>
          <w:szCs w:val="32"/>
          <w:highlight w:val="none"/>
          <w:u w:val="single"/>
        </w:rPr>
        <w:t>肆</w:t>
      </w:r>
      <w:r>
        <w:rPr>
          <w:rFonts w:hint="eastAsia" w:ascii="仿宋_GB2312" w:eastAsia="仿宋_GB2312" w:cs="仿宋_GB2312"/>
          <w:sz w:val="32"/>
          <w:szCs w:val="32"/>
          <w:highlight w:val="none"/>
        </w:rPr>
        <w:t>份，乙方</w:t>
      </w:r>
      <w:r>
        <w:rPr>
          <w:rFonts w:hint="eastAsia" w:ascii="仿宋_GB2312" w:eastAsia="仿宋_GB2312" w:cs="仿宋_GB2312"/>
          <w:sz w:val="32"/>
          <w:szCs w:val="32"/>
          <w:highlight w:val="none"/>
          <w:u w:val="single"/>
        </w:rPr>
        <w:t>贰</w:t>
      </w:r>
      <w:r>
        <w:rPr>
          <w:rFonts w:hint="eastAsia" w:ascii="仿宋_GB2312" w:eastAsia="仿宋_GB2312" w:cs="仿宋_GB2312"/>
          <w:sz w:val="32"/>
          <w:szCs w:val="32"/>
          <w:highlight w:val="none"/>
        </w:rPr>
        <w:t>份</w:t>
      </w:r>
      <w:r>
        <w:rPr>
          <w:rFonts w:hint="eastAsia" w:ascii="仿宋_GB2312" w:eastAsia="仿宋_GB2312" w:cs="仿宋_GB2312"/>
          <w:color w:val="000000"/>
          <w:sz w:val="32"/>
          <w:szCs w:val="32"/>
          <w:highlight w:val="none"/>
        </w:rPr>
        <w:t>。</w:t>
      </w:r>
    </w:p>
    <w:p>
      <w:pPr>
        <w:pStyle w:val="12"/>
        <w:spacing w:line="580" w:lineRule="exact"/>
        <w:rPr>
          <w:rFonts w:ascii="仿宋_GB2312" w:eastAsia="仿宋_GB2312"/>
          <w:color w:val="auto"/>
          <w:sz w:val="32"/>
          <w:szCs w:val="32"/>
          <w:highlight w:val="none"/>
        </w:rPr>
      </w:pPr>
    </w:p>
    <w:p>
      <w:pPr>
        <w:pStyle w:val="12"/>
        <w:spacing w:line="580" w:lineRule="exact"/>
        <w:ind w:left="0"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甲乙双方确认在签订本廉洁协议书前已仔细阅读条款内容，甲乙双方对本廉洁协议书所产生的法律责任已清楚知悉并承诺遵守。</w:t>
      </w:r>
    </w:p>
    <w:p>
      <w:pPr>
        <w:spacing w:line="580" w:lineRule="exact"/>
        <w:rPr>
          <w:rFonts w:ascii="仿宋_GB2312" w:eastAsia="仿宋_GB2312"/>
          <w:color w:val="000000"/>
          <w:sz w:val="32"/>
          <w:szCs w:val="32"/>
          <w:highlight w:val="none"/>
        </w:rPr>
      </w:pPr>
    </w:p>
    <w:tbl>
      <w:tblPr>
        <w:tblStyle w:val="16"/>
        <w:tblW w:w="9924" w:type="dxa"/>
        <w:tblInd w:w="-431" w:type="dxa"/>
        <w:tblLayout w:type="autofit"/>
        <w:tblCellMar>
          <w:top w:w="0" w:type="dxa"/>
          <w:left w:w="108" w:type="dxa"/>
          <w:bottom w:w="0" w:type="dxa"/>
          <w:right w:w="108" w:type="dxa"/>
        </w:tblCellMar>
      </w:tblPr>
      <w:tblGrid>
        <w:gridCol w:w="4962"/>
        <w:gridCol w:w="4962"/>
      </w:tblGrid>
      <w:tr>
        <w:tblPrEx>
          <w:tblCellMar>
            <w:top w:w="0" w:type="dxa"/>
            <w:left w:w="108" w:type="dxa"/>
            <w:bottom w:w="0" w:type="dxa"/>
            <w:right w:w="108" w:type="dxa"/>
          </w:tblCellMar>
        </w:tblPrEx>
        <w:trPr>
          <w:trHeight w:val="445" w:hRule="atLeast"/>
        </w:trPr>
        <w:tc>
          <w:tcPr>
            <w:tcW w:w="4962" w:type="dxa"/>
          </w:tcPr>
          <w:p>
            <w:pPr>
              <w:spacing w:line="58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甲方（盖章）：</w:t>
            </w:r>
          </w:p>
          <w:p>
            <w:pPr>
              <w:spacing w:line="580" w:lineRule="exact"/>
              <w:rPr>
                <w:rFonts w:ascii="仿宋_GB2312" w:eastAsia="仿宋_GB2312"/>
                <w:color w:val="000000"/>
                <w:sz w:val="32"/>
                <w:szCs w:val="32"/>
                <w:highlight w:val="none"/>
              </w:rPr>
            </w:pPr>
          </w:p>
        </w:tc>
        <w:tc>
          <w:tcPr>
            <w:tcW w:w="4962" w:type="dxa"/>
          </w:tcPr>
          <w:p>
            <w:pPr>
              <w:spacing w:line="580" w:lineRule="exact"/>
              <w:rPr>
                <w:rFonts w:ascii="仿宋_GB2312" w:eastAsia="仿宋_GB2312"/>
                <w:color w:val="000000"/>
                <w:sz w:val="32"/>
                <w:szCs w:val="32"/>
                <w:highlight w:val="none"/>
              </w:rPr>
            </w:pPr>
            <w:r>
              <w:rPr>
                <w:rFonts w:hint="eastAsia" w:ascii="仿宋_GB2312" w:eastAsia="仿宋_GB2312" w:cs="仿宋_GB2312"/>
                <w:sz w:val="32"/>
                <w:szCs w:val="32"/>
                <w:highlight w:val="none"/>
              </w:rPr>
              <w:t>乙方（盖章）：</w:t>
            </w:r>
          </w:p>
        </w:tc>
      </w:tr>
      <w:tr>
        <w:tblPrEx>
          <w:tblCellMar>
            <w:top w:w="0" w:type="dxa"/>
            <w:left w:w="108" w:type="dxa"/>
            <w:bottom w:w="0" w:type="dxa"/>
            <w:right w:w="108" w:type="dxa"/>
          </w:tblCellMar>
        </w:tblPrEx>
        <w:trPr>
          <w:trHeight w:val="510" w:hRule="atLeast"/>
        </w:trPr>
        <w:tc>
          <w:tcPr>
            <w:tcW w:w="4962" w:type="dxa"/>
          </w:tcPr>
          <w:p>
            <w:pPr>
              <w:spacing w:line="58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法定代表人</w:t>
            </w:r>
            <w:r>
              <w:rPr>
                <w:rFonts w:ascii="仿宋_GB2312" w:eastAsia="仿宋_GB2312" w:cs="仿宋_GB2312"/>
                <w:sz w:val="32"/>
                <w:szCs w:val="32"/>
                <w:highlight w:val="none"/>
              </w:rPr>
              <w:br w:type="textWrapping"/>
            </w:r>
            <w:r>
              <w:rPr>
                <w:rFonts w:hint="eastAsia" w:ascii="仿宋_GB2312" w:eastAsia="仿宋_GB2312" w:cs="仿宋_GB2312"/>
                <w:sz w:val="32"/>
                <w:szCs w:val="32"/>
                <w:highlight w:val="none"/>
              </w:rPr>
              <w:t>（或委托代理人）：</w:t>
            </w:r>
          </w:p>
          <w:p>
            <w:pPr>
              <w:spacing w:line="580" w:lineRule="exact"/>
              <w:rPr>
                <w:rFonts w:ascii="仿宋_GB2312" w:eastAsia="仿宋_GB2312"/>
                <w:color w:val="000000"/>
                <w:sz w:val="32"/>
                <w:szCs w:val="32"/>
                <w:highlight w:val="none"/>
              </w:rPr>
            </w:pPr>
          </w:p>
        </w:tc>
        <w:tc>
          <w:tcPr>
            <w:tcW w:w="4962" w:type="dxa"/>
          </w:tcPr>
          <w:p>
            <w:pPr>
              <w:spacing w:line="58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法定代表人</w:t>
            </w:r>
          </w:p>
          <w:p>
            <w:pPr>
              <w:spacing w:line="580" w:lineRule="exact"/>
              <w:rPr>
                <w:rFonts w:ascii="仿宋_GB2312" w:eastAsia="仿宋_GB2312"/>
                <w:color w:val="000000"/>
                <w:sz w:val="32"/>
                <w:szCs w:val="32"/>
                <w:highlight w:val="none"/>
              </w:rPr>
            </w:pPr>
            <w:r>
              <w:rPr>
                <w:rFonts w:hint="eastAsia" w:ascii="仿宋_GB2312" w:eastAsia="仿宋_GB2312" w:cs="仿宋_GB2312"/>
                <w:sz w:val="32"/>
                <w:szCs w:val="32"/>
                <w:highlight w:val="none"/>
              </w:rPr>
              <w:t>（或委托代理人）：</w:t>
            </w:r>
          </w:p>
        </w:tc>
      </w:tr>
      <w:tr>
        <w:tblPrEx>
          <w:tblCellMar>
            <w:top w:w="0" w:type="dxa"/>
            <w:left w:w="108" w:type="dxa"/>
            <w:bottom w:w="0" w:type="dxa"/>
            <w:right w:w="108" w:type="dxa"/>
          </w:tblCellMar>
        </w:tblPrEx>
        <w:trPr>
          <w:trHeight w:val="510" w:hRule="atLeast"/>
        </w:trPr>
        <w:tc>
          <w:tcPr>
            <w:tcW w:w="4962" w:type="dxa"/>
          </w:tcPr>
          <w:p>
            <w:pPr>
              <w:spacing w:line="58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年   月   日</w:t>
            </w:r>
          </w:p>
          <w:p>
            <w:pPr>
              <w:spacing w:line="580" w:lineRule="exact"/>
              <w:rPr>
                <w:rFonts w:ascii="仿宋_GB2312" w:eastAsia="仿宋_GB2312"/>
                <w:color w:val="000000"/>
                <w:sz w:val="32"/>
                <w:szCs w:val="32"/>
                <w:highlight w:val="none"/>
              </w:rPr>
            </w:pPr>
          </w:p>
        </w:tc>
        <w:tc>
          <w:tcPr>
            <w:tcW w:w="4962" w:type="dxa"/>
          </w:tcPr>
          <w:p>
            <w:pPr>
              <w:spacing w:line="580" w:lineRule="exact"/>
              <w:rPr>
                <w:rFonts w:ascii="仿宋_GB2312" w:eastAsia="仿宋_GB2312"/>
                <w:color w:val="000000"/>
                <w:sz w:val="32"/>
                <w:szCs w:val="32"/>
                <w:highlight w:val="none"/>
              </w:rPr>
            </w:pPr>
            <w:r>
              <w:rPr>
                <w:rFonts w:hint="eastAsia" w:ascii="仿宋_GB2312" w:eastAsia="仿宋_GB2312" w:cs="仿宋_GB2312"/>
                <w:sz w:val="32"/>
                <w:szCs w:val="32"/>
                <w:highlight w:val="none"/>
              </w:rPr>
              <w:t>年   月   日</w:t>
            </w:r>
          </w:p>
        </w:tc>
      </w:tr>
      <w:tr>
        <w:tblPrEx>
          <w:tblCellMar>
            <w:top w:w="0" w:type="dxa"/>
            <w:left w:w="108" w:type="dxa"/>
            <w:bottom w:w="0" w:type="dxa"/>
            <w:right w:w="108" w:type="dxa"/>
          </w:tblCellMar>
        </w:tblPrEx>
        <w:trPr>
          <w:trHeight w:val="810" w:hRule="atLeast"/>
        </w:trPr>
        <w:tc>
          <w:tcPr>
            <w:tcW w:w="4962" w:type="dxa"/>
          </w:tcPr>
          <w:p>
            <w:pPr>
              <w:spacing w:line="580" w:lineRule="exact"/>
              <w:rPr>
                <w:rFonts w:ascii="仿宋_GB2312" w:eastAsia="仿宋_GB2312"/>
                <w:color w:val="000000"/>
                <w:sz w:val="32"/>
                <w:szCs w:val="32"/>
                <w:highlight w:val="none"/>
              </w:rPr>
            </w:pPr>
          </w:p>
        </w:tc>
        <w:tc>
          <w:tcPr>
            <w:tcW w:w="4962" w:type="dxa"/>
          </w:tcPr>
          <w:p>
            <w:pPr>
              <w:spacing w:line="580" w:lineRule="exact"/>
              <w:rPr>
                <w:rFonts w:hint="eastAsia" w:ascii="仿宋_GB2312" w:eastAsia="仿宋_GB2312"/>
                <w:color w:val="000000"/>
                <w:sz w:val="32"/>
                <w:szCs w:val="32"/>
                <w:highlight w:val="none"/>
              </w:rPr>
            </w:pPr>
          </w:p>
        </w:tc>
      </w:tr>
    </w:tbl>
    <w:p>
      <w:pPr>
        <w:rPr>
          <w:highlight w:val="none"/>
        </w:rPr>
      </w:pPr>
      <w:r>
        <w:rPr>
          <w:highlight w:val="none"/>
        </w:rPr>
        <w:br w:type="page"/>
      </w:r>
    </w:p>
    <w:p>
      <w:pPr>
        <w:adjustRightInd w:val="0"/>
        <w:snapToGrid w:val="0"/>
        <w:spacing w:line="580" w:lineRule="exact"/>
        <w:jc w:val="left"/>
        <w:outlineLvl w:val="1"/>
        <w:rPr>
          <w:rFonts w:hint="eastAsia" w:ascii="黑体" w:hAnsi="黑体" w:eastAsia="黑体" w:cs="黑体"/>
          <w:iCs/>
          <w:sz w:val="32"/>
          <w:szCs w:val="32"/>
          <w:highlight w:val="none"/>
          <w:lang w:val="en-US" w:eastAsia="zh-CN"/>
        </w:rPr>
      </w:pPr>
      <w:r>
        <w:rPr>
          <w:rFonts w:hint="eastAsia" w:ascii="黑体" w:hAnsi="黑体" w:eastAsia="黑体" w:cs="黑体"/>
          <w:iCs/>
          <w:sz w:val="32"/>
          <w:szCs w:val="32"/>
          <w:highlight w:val="none"/>
          <w:lang w:val="en-US" w:eastAsia="zh-CN"/>
        </w:rPr>
        <w:t>附件3</w:t>
      </w:r>
    </w:p>
    <w:p>
      <w:pPr>
        <w:spacing w:line="580" w:lineRule="exact"/>
        <w:ind w:firstLine="440" w:firstLineChars="100"/>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安全生产管理协议书</w:t>
      </w:r>
    </w:p>
    <w:p>
      <w:pPr>
        <w:spacing w:line="580" w:lineRule="exact"/>
        <w:ind w:firstLine="211" w:firstLineChars="100"/>
        <w:jc w:val="center"/>
        <w:rPr>
          <w:rFonts w:ascii="宋体" w:hAnsi="宋体" w:cs="宋体"/>
          <w:b/>
          <w:bCs/>
          <w:sz w:val="21"/>
          <w:szCs w:val="21"/>
          <w:highlight w:val="none"/>
        </w:rPr>
      </w:pPr>
    </w:p>
    <w:p>
      <w:pPr>
        <w:spacing w:line="580" w:lineRule="exact"/>
        <w:ind w:firstLine="640" w:firstLineChars="200"/>
        <w:jc w:val="both"/>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rPr>
        <w:t>甲方：</w:t>
      </w:r>
      <w:r>
        <w:rPr>
          <w:rFonts w:hint="eastAsia" w:ascii="仿宋_GB2312" w:hAnsi="宋体" w:eastAsia="仿宋_GB2312" w:cs="宋体"/>
          <w:sz w:val="32"/>
          <w:szCs w:val="32"/>
          <w:highlight w:val="none"/>
          <w:u w:val="single"/>
          <w:lang w:val="zh-CN"/>
        </w:rPr>
        <w:t>广州市城壹物业发展有限公司</w:t>
      </w:r>
    </w:p>
    <w:p>
      <w:pPr>
        <w:spacing w:line="580" w:lineRule="exact"/>
        <w:ind w:firstLine="640" w:firstLineChars="200"/>
        <w:jc w:val="both"/>
        <w:rPr>
          <w:rFonts w:ascii="仿宋_GB2312" w:hAnsi="宋体" w:eastAsia="仿宋_GB2312" w:cs="宋体"/>
          <w:color w:val="C00000"/>
          <w:sz w:val="32"/>
          <w:szCs w:val="32"/>
          <w:highlight w:val="none"/>
          <w:lang w:val="zh-CN"/>
        </w:rPr>
      </w:pPr>
      <w:r>
        <w:rPr>
          <w:rFonts w:hint="eastAsia" w:ascii="仿宋_GB2312" w:hAnsi="宋体" w:eastAsia="仿宋_GB2312" w:cs="宋体"/>
          <w:sz w:val="32"/>
          <w:szCs w:val="32"/>
          <w:highlight w:val="none"/>
        </w:rPr>
        <w:t>乙方：</w:t>
      </w:r>
      <w:r>
        <w:rPr>
          <w:rFonts w:hint="eastAsia" w:ascii="仿宋_GB2312" w:hAnsi="宋体" w:eastAsia="仿宋_GB2312" w:cs="宋体"/>
          <w:sz w:val="32"/>
          <w:szCs w:val="32"/>
          <w:highlight w:val="none"/>
          <w:u w:val="single"/>
        </w:rPr>
        <w:t xml:space="preserve">                          </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为加强安全生产管理，深入贯彻执行“安全第一、预防为主”的安全生产方针，落实安全生产责任制，保障人民群众生命财产的安全，依据《中华人民共和国安全生产法》、《中华人民共和国消防法》等相关法律、法规规定，为确保与乙方签订的</w:t>
      </w:r>
      <w:r>
        <w:rPr>
          <w:rFonts w:hint="eastAsia" w:ascii="仿宋_GB2312" w:hAnsi="宋体" w:eastAsia="仿宋_GB2312" w:cs="宋体"/>
          <w:sz w:val="32"/>
          <w:szCs w:val="32"/>
          <w:highlight w:val="none"/>
          <w:u w:val="single"/>
          <w:lang w:val="en-US" w:eastAsia="zh-CN"/>
        </w:rPr>
        <w:t xml:space="preserve">                 </w:t>
      </w:r>
      <w:r>
        <w:rPr>
          <w:rFonts w:hint="eastAsia" w:ascii="仿宋_GB2312" w:hAnsi="宋体" w:eastAsia="仿宋_GB2312" w:cs="宋体"/>
          <w:sz w:val="32"/>
          <w:szCs w:val="32"/>
          <w:highlight w:val="none"/>
        </w:rPr>
        <w:t>项目的安全履行，经甲乙双方友好协商，遵循平等、公平和诚实信用的原则，双方就安全生产管理协商达成一致，订立本协议∶</w:t>
      </w:r>
    </w:p>
    <w:p>
      <w:pPr>
        <w:numPr>
          <w:ilvl w:val="0"/>
          <w:numId w:val="6"/>
        </w:numPr>
        <w:spacing w:line="580" w:lineRule="exact"/>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乙方的安全职责</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遵守国家安全生产相关法律法规的要求，严格执行甲方在安全管理体系文件中的各项要求，对曾经是否有过违反安全法律法规需给甲方以明确书面说明。</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对从业人员进行安全生产、消防安全、交通安全等教育培训。员工掌握安全防护知识，进行特种作业时，作业人员需持证上岗，并按要求开展交底、培训、备案、检查等要求。</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严禁违章指挥，及时制止违章作业和违反劳动纪律的行为。</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发生事故时，应当迅速采取有效措施，组织抢救伤者、保护好现场，并立即向上级有关部门报告。</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加强对危险作业控制，采取一切措施保护工作人员及其他人员的安全。配备规范的防护用品，提供警示标识等，进行危险作业前需向甲方履行相关审核手续。</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严格按章按程序作业，收到甲方《整改通知书》时严格按要求整改，未按要求完成整坚决不允许开工，拒不执行的可取消作为甲方合作方的资格。</w:t>
      </w:r>
    </w:p>
    <w:p>
      <w:pPr>
        <w:numPr>
          <w:ilvl w:val="0"/>
          <w:numId w:val="7"/>
        </w:num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坚决落实安全生产管理工作，作业中各相关方有责任协同甲方人员开展安全管理控制，对甲方在安全管理方面上的要求全力配合执行。</w:t>
      </w:r>
    </w:p>
    <w:p>
      <w:pPr>
        <w:numPr>
          <w:ilvl w:val="0"/>
          <w:numId w:val="6"/>
        </w:numPr>
        <w:spacing w:line="580" w:lineRule="exact"/>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甲方权利义务</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1.负责在乙方承包期间进行不定期的安全监督检查。</w:t>
      </w:r>
    </w:p>
    <w:p>
      <w:pPr>
        <w:spacing w:line="580" w:lineRule="exact"/>
        <w:ind w:firstLine="640" w:firstLineChars="200"/>
        <w:jc w:val="both"/>
        <w:rPr>
          <w:rFonts w:ascii="仿宋_GB2312" w:hAnsi="宋体" w:eastAsia="仿宋_GB2312" w:cs="宋体"/>
          <w:strike/>
          <w:sz w:val="32"/>
          <w:szCs w:val="32"/>
          <w:highlight w:val="none"/>
        </w:rPr>
      </w:pPr>
      <w:r>
        <w:rPr>
          <w:rFonts w:hint="eastAsia" w:ascii="仿宋_GB2312" w:hAnsi="宋体" w:eastAsia="仿宋_GB2312" w:cs="宋体"/>
          <w:sz w:val="32"/>
          <w:szCs w:val="32"/>
          <w:highlight w:val="none"/>
        </w:rPr>
        <w:t>2.负责对乙方服务过程中的安全等相关工作进行监督。</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3.对乙方自带的不符合安全要求的设备、工具、安全用具、安全防护用具，甲方有权禁止乙方使用。</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4.对违反安全生产标准和规章制度的行为进行纠正，必要时要求乙方整改。</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5.对乙方承包过程进行监督检查和管理，对违规、违章等行为进行制止，不配合执行的，取消作为甲方合作方的资格。</w:t>
      </w:r>
    </w:p>
    <w:p>
      <w:pPr>
        <w:numPr>
          <w:ilvl w:val="0"/>
          <w:numId w:val="6"/>
        </w:numPr>
        <w:spacing w:line="580" w:lineRule="exact"/>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乙方权利义务</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1.由于乙方安全措施不力造成事故的责任和因此而发生的费用，全部由乙方承担。</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2.乙方应指定安全管理人员，驻点负责日常安全管理事务。</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3.遵守甲方安全生产管理制度和劳动纪律。服从甲方的安全生产管理，不服从管理导致生产安全事故的，由乙方承担主要责任，甲方有权就事故造成的损失，向乙方索赔。</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4.乙方应对本单位内的从业人员进行安全培训教育及日常的消防安全培训教育。</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5.保证本单位从业人员具备必要的安全生产知识、熟悉有关的安全生产规章制度和安全操作规程、掌握本岗位的安全操作技能和紧急情况下的应急避险措施，并督促承包人员自觉遵守安全生产的各项规章制度。</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6.应当告知作业人员危险岗位的操作规程和违章操作的危害。</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7.负责为本单位作业人员提供必要的劳动保护用品和劳动防护用品，督促从业人员正确使用劳动防护用品，及时制止违章行为。</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8.接受甲方的安全监督检查，对检查提出的问题和隐患，落实人员及时整改，不得以任何理由拒绝整改或设置障碍。</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9.有权拒绝甲方的违章指挥和强令冒险作业；发现直接危及人身安全的紧急情况时，有权停止作业或者在采取可能的应急措施后撤离作业场所。</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10.不得私自接设临时用电线路。</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11.接受甲方对违反安全生产管理规定行为的处理决定，并承担由此产生的责任。</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12.负责为本单位作业人员办理工伤保险、意外伤害保险，支付保险费，如没有购买相关保险从业人员发生安全生产事故的，承担全部责任。</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13.对本单位作业人员所发生的生产安全事故，乙方应立即报告甲方，按照有关规定对事故进行调查处理，并承担民事责任和法律责任。</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14.乙方安全生产责任人：</w:t>
      </w:r>
      <w:r>
        <w:rPr>
          <w:rFonts w:hint="eastAsia" w:ascii="仿宋_GB2312" w:hAnsi="宋体" w:eastAsia="仿宋_GB2312" w:cs="宋体"/>
          <w:sz w:val="32"/>
          <w:szCs w:val="32"/>
          <w:highlight w:val="none"/>
          <w:u w:val="single"/>
        </w:rPr>
        <w:t>        </w:t>
      </w:r>
      <w:r>
        <w:rPr>
          <w:rFonts w:hint="eastAsia" w:ascii="仿宋_GB2312" w:hAnsi="宋体" w:eastAsia="仿宋_GB2312" w:cs="宋体"/>
          <w:sz w:val="32"/>
          <w:szCs w:val="32"/>
          <w:highlight w:val="none"/>
        </w:rPr>
        <w:t>，联系电话：</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,身份证号：</w:t>
      </w:r>
      <w:r>
        <w:rPr>
          <w:rFonts w:hint="eastAsia" w:ascii="仿宋_GB2312" w:hAnsi="宋体" w:eastAsia="仿宋_GB2312" w:cs="宋体"/>
          <w:sz w:val="32"/>
          <w:szCs w:val="32"/>
          <w:highlight w:val="none"/>
          <w:u w:val="single"/>
        </w:rPr>
        <w:t xml:space="preserve">              </w:t>
      </w:r>
      <w:r>
        <w:rPr>
          <w:rFonts w:hint="eastAsia" w:ascii="仿宋_GB2312" w:hAnsi="宋体" w:eastAsia="仿宋_GB2312" w:cs="宋体"/>
          <w:sz w:val="32"/>
          <w:szCs w:val="32"/>
          <w:highlight w:val="none"/>
        </w:rPr>
        <w:t>。</w:t>
      </w:r>
    </w:p>
    <w:p>
      <w:pPr>
        <w:numPr>
          <w:ilvl w:val="0"/>
          <w:numId w:val="6"/>
        </w:numPr>
        <w:spacing w:line="580" w:lineRule="exact"/>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其他</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1.本协议作为承包合同的附件，与承包合同同时生效、终止。未尽事宜，另行协商。</w:t>
      </w: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2.本协议一式</w:t>
      </w:r>
      <w:r>
        <w:rPr>
          <w:rFonts w:hint="eastAsia" w:ascii="仿宋_GB2312" w:hAnsi="宋体" w:eastAsia="仿宋_GB2312" w:cs="宋体"/>
          <w:sz w:val="32"/>
          <w:szCs w:val="32"/>
          <w:highlight w:val="none"/>
          <w:u w:val="single"/>
        </w:rPr>
        <w:t xml:space="preserve"> 陆 </w:t>
      </w:r>
      <w:r>
        <w:rPr>
          <w:rFonts w:hint="eastAsia" w:ascii="仿宋_GB2312" w:hAnsi="宋体" w:eastAsia="仿宋_GB2312" w:cs="宋体"/>
          <w:sz w:val="32"/>
          <w:szCs w:val="32"/>
          <w:highlight w:val="none"/>
        </w:rPr>
        <w:t>份，甲方持</w:t>
      </w:r>
      <w:r>
        <w:rPr>
          <w:rFonts w:hint="eastAsia" w:ascii="仿宋_GB2312" w:hAnsi="宋体" w:eastAsia="仿宋_GB2312" w:cs="宋体"/>
          <w:sz w:val="32"/>
          <w:szCs w:val="32"/>
          <w:highlight w:val="none"/>
          <w:u w:val="single"/>
        </w:rPr>
        <w:t xml:space="preserve"> 肆 </w:t>
      </w:r>
      <w:r>
        <w:rPr>
          <w:rFonts w:hint="eastAsia" w:ascii="仿宋_GB2312" w:hAnsi="宋体" w:eastAsia="仿宋_GB2312" w:cs="宋体"/>
          <w:sz w:val="32"/>
          <w:szCs w:val="32"/>
          <w:highlight w:val="none"/>
        </w:rPr>
        <w:t>份，乙方持</w:t>
      </w:r>
      <w:r>
        <w:rPr>
          <w:rFonts w:hint="eastAsia" w:ascii="仿宋_GB2312" w:hAnsi="宋体" w:eastAsia="仿宋_GB2312" w:cs="宋体"/>
          <w:sz w:val="32"/>
          <w:szCs w:val="32"/>
          <w:highlight w:val="none"/>
          <w:u w:val="single"/>
        </w:rPr>
        <w:t xml:space="preserve"> 贰 </w:t>
      </w:r>
      <w:r>
        <w:rPr>
          <w:rFonts w:hint="eastAsia" w:ascii="仿宋_GB2312" w:hAnsi="宋体" w:eastAsia="仿宋_GB2312" w:cs="宋体"/>
          <w:sz w:val="32"/>
          <w:szCs w:val="32"/>
          <w:highlight w:val="none"/>
        </w:rPr>
        <w:t>份，具有同等法律效力。</w:t>
      </w:r>
    </w:p>
    <w:p>
      <w:pPr>
        <w:spacing w:line="580" w:lineRule="exact"/>
        <w:ind w:firstLine="640" w:firstLineChars="200"/>
        <w:jc w:val="both"/>
        <w:rPr>
          <w:rFonts w:ascii="仿宋_GB2312" w:hAnsi="宋体" w:eastAsia="仿宋_GB2312" w:cs="宋体"/>
          <w:sz w:val="32"/>
          <w:szCs w:val="32"/>
          <w:highlight w:val="none"/>
        </w:rPr>
      </w:pPr>
    </w:p>
    <w:p>
      <w:pPr>
        <w:spacing w:line="580" w:lineRule="exact"/>
        <w:ind w:firstLine="640" w:firstLineChars="200"/>
        <w:jc w:val="both"/>
        <w:rPr>
          <w:rFonts w:ascii="仿宋_GB2312" w:hAnsi="宋体" w:eastAsia="仿宋_GB2312" w:cs="宋体"/>
          <w:sz w:val="32"/>
          <w:szCs w:val="32"/>
          <w:highlight w:val="none"/>
        </w:rPr>
      </w:pPr>
    </w:p>
    <w:p>
      <w:pPr>
        <w:spacing w:line="580" w:lineRule="exact"/>
        <w:ind w:firstLine="640" w:firstLineChars="20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（此页</w:t>
      </w:r>
      <w:r>
        <w:rPr>
          <w:rFonts w:ascii="仿宋_GB2312" w:hAnsi="宋体" w:eastAsia="仿宋_GB2312" w:cs="宋体"/>
          <w:sz w:val="32"/>
          <w:szCs w:val="32"/>
          <w:highlight w:val="none"/>
        </w:rPr>
        <w:t>为盖章页，</w:t>
      </w:r>
      <w:r>
        <w:rPr>
          <w:rFonts w:hint="eastAsia" w:ascii="仿宋_GB2312" w:hAnsi="宋体" w:eastAsia="仿宋_GB2312" w:cs="宋体"/>
          <w:sz w:val="32"/>
          <w:szCs w:val="32"/>
          <w:highlight w:val="none"/>
        </w:rPr>
        <w:t>以下</w:t>
      </w:r>
      <w:r>
        <w:rPr>
          <w:rFonts w:ascii="仿宋_GB2312" w:hAnsi="宋体" w:eastAsia="仿宋_GB2312" w:cs="宋体"/>
          <w:sz w:val="32"/>
          <w:szCs w:val="32"/>
          <w:highlight w:val="none"/>
        </w:rPr>
        <w:t>无正文</w:t>
      </w:r>
      <w:r>
        <w:rPr>
          <w:rFonts w:hint="eastAsia" w:ascii="仿宋_GB2312" w:hAnsi="宋体" w:eastAsia="仿宋_GB2312" w:cs="宋体"/>
          <w:sz w:val="32"/>
          <w:szCs w:val="32"/>
          <w:highlight w:val="none"/>
        </w:rPr>
        <w:t>。）</w:t>
      </w:r>
    </w:p>
    <w:tbl>
      <w:tblPr>
        <w:tblStyle w:val="17"/>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1"/>
        <w:gridCol w:w="3460"/>
        <w:gridCol w:w="2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410" w:type="dxa"/>
          </w:tcPr>
          <w:p>
            <w:pPr>
              <w:spacing w:line="58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甲方（盖章）： </w:t>
            </w:r>
          </w:p>
        </w:tc>
        <w:tc>
          <w:tcPr>
            <w:tcW w:w="3402" w:type="dxa"/>
          </w:tcPr>
          <w:p>
            <w:pPr>
              <w:spacing w:line="580" w:lineRule="exact"/>
              <w:rPr>
                <w:rFonts w:ascii="仿宋_GB2312" w:hAnsi="宋体" w:eastAsia="仿宋_GB2312" w:cs="宋体"/>
                <w:sz w:val="28"/>
                <w:szCs w:val="28"/>
                <w:highlight w:val="none"/>
              </w:rPr>
            </w:pPr>
          </w:p>
        </w:tc>
        <w:tc>
          <w:tcPr>
            <w:tcW w:w="2551" w:type="dxa"/>
          </w:tcPr>
          <w:p>
            <w:pPr>
              <w:spacing w:line="58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2410" w:type="dxa"/>
          </w:tcPr>
          <w:p>
            <w:pPr>
              <w:spacing w:line="58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法定代表人（或授权代表）：</w:t>
            </w:r>
          </w:p>
        </w:tc>
        <w:tc>
          <w:tcPr>
            <w:tcW w:w="3402" w:type="dxa"/>
          </w:tcPr>
          <w:p>
            <w:pPr>
              <w:spacing w:line="580" w:lineRule="exact"/>
              <w:rPr>
                <w:rFonts w:ascii="仿宋_GB2312" w:hAnsi="宋体" w:eastAsia="仿宋_GB2312" w:cs="宋体"/>
                <w:sz w:val="28"/>
                <w:szCs w:val="28"/>
                <w:highlight w:val="none"/>
              </w:rPr>
            </w:pPr>
          </w:p>
        </w:tc>
        <w:tc>
          <w:tcPr>
            <w:tcW w:w="2551" w:type="dxa"/>
          </w:tcPr>
          <w:p>
            <w:pPr>
              <w:spacing w:line="58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410" w:type="dxa"/>
          </w:tcPr>
          <w:p>
            <w:pPr>
              <w:spacing w:line="58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签署日期：  </w:t>
            </w:r>
          </w:p>
        </w:tc>
        <w:tc>
          <w:tcPr>
            <w:tcW w:w="3402" w:type="dxa"/>
          </w:tcPr>
          <w:p>
            <w:pPr>
              <w:spacing w:line="580" w:lineRule="exact"/>
              <w:rPr>
                <w:rFonts w:ascii="仿宋_GB2312" w:hAnsi="宋体" w:eastAsia="仿宋_GB2312" w:cs="宋体"/>
                <w:sz w:val="28"/>
                <w:szCs w:val="28"/>
                <w:highlight w:val="none"/>
              </w:rPr>
            </w:pPr>
          </w:p>
        </w:tc>
        <w:tc>
          <w:tcPr>
            <w:tcW w:w="2551" w:type="dxa"/>
          </w:tcPr>
          <w:p>
            <w:pPr>
              <w:spacing w:line="580" w:lineRule="exac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 xml:space="preserve">签署日期：  </w:t>
            </w:r>
          </w:p>
        </w:tc>
      </w:tr>
    </w:tbl>
    <w:p>
      <w:pPr>
        <w:rPr>
          <w:sz w:val="28"/>
          <w:szCs w:val="28"/>
          <w:highlight w:val="none"/>
        </w:rPr>
      </w:pPr>
    </w:p>
    <w:p>
      <w:pPr>
        <w:ind w:firstLine="562" w:firstLineChars="200"/>
        <w:rPr>
          <w:rFonts w:asciiTheme="minorEastAsia" w:hAnsiTheme="minorEastAsia" w:eastAsiaTheme="minorEastAsia"/>
          <w:b/>
          <w:sz w:val="28"/>
          <w:szCs w:val="28"/>
          <w:highlight w:val="none"/>
        </w:rPr>
      </w:pPr>
    </w:p>
    <w:p>
      <w:pPr>
        <w:pStyle w:val="4"/>
        <w:rPr>
          <w:rFonts w:asciiTheme="minorEastAsia" w:hAnsiTheme="minorEastAsia" w:eastAsiaTheme="minorEastAsia"/>
          <w:sz w:val="28"/>
          <w:szCs w:val="28"/>
          <w:highlight w:val="none"/>
        </w:rPr>
      </w:pPr>
    </w:p>
    <w:p>
      <w:pPr>
        <w:rPr>
          <w:rFonts w:hint="eastAsia"/>
          <w:sz w:val="24"/>
          <w:highlight w:val="none"/>
          <w:lang w:val="zh-CN" w:eastAsia="zh-CN"/>
        </w:rPr>
      </w:pPr>
      <w:r>
        <w:rPr>
          <w:rFonts w:hint="eastAsia"/>
          <w:sz w:val="24"/>
          <w:highlight w:val="none"/>
          <w:lang w:val="zh-CN" w:eastAsia="zh-CN"/>
        </w:rPr>
        <w:br w:type="page"/>
      </w:r>
    </w:p>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jc w:val="center"/>
        <w:rPr>
          <w:rFonts w:hint="eastAsia" w:ascii="宋体" w:hAnsi="宋体"/>
          <w:b/>
          <w:sz w:val="44"/>
          <w:szCs w:val="44"/>
        </w:rPr>
      </w:pPr>
      <w:r>
        <w:rPr>
          <w:rFonts w:hint="eastAsia" w:ascii="宋体" w:hAnsi="宋体"/>
          <w:b/>
          <w:sz w:val="44"/>
          <w:szCs w:val="44"/>
        </w:rPr>
        <w:t>广州市城壹物业发展有限公司</w:t>
      </w:r>
    </w:p>
    <w:p>
      <w:pPr>
        <w:jc w:val="center"/>
        <w:rPr>
          <w:rFonts w:hint="eastAsia" w:ascii="宋体" w:hAnsi="宋体"/>
          <w:b/>
          <w:sz w:val="44"/>
          <w:szCs w:val="44"/>
        </w:rPr>
      </w:pPr>
      <w:r>
        <w:rPr>
          <w:rFonts w:hint="eastAsia" w:ascii="宋体" w:hAnsi="宋体"/>
          <w:b/>
          <w:sz w:val="44"/>
          <w:szCs w:val="44"/>
        </w:rPr>
        <w:t>东片区保障性住房及配套设备设施</w:t>
      </w:r>
    </w:p>
    <w:p>
      <w:pPr>
        <w:jc w:val="center"/>
        <w:rPr>
          <w:rFonts w:hint="eastAsia" w:ascii="宋体" w:hAnsi="宋体"/>
          <w:b/>
          <w:sz w:val="44"/>
          <w:szCs w:val="44"/>
        </w:rPr>
      </w:pPr>
      <w:r>
        <w:rPr>
          <w:rFonts w:hint="eastAsia" w:ascii="宋体" w:hAnsi="宋体"/>
          <w:b/>
          <w:sz w:val="44"/>
          <w:szCs w:val="44"/>
        </w:rPr>
        <w:t>日常小额维修企业库管理办法</w:t>
      </w:r>
    </w:p>
    <w:p>
      <w:pPr>
        <w:jc w:val="center"/>
        <w:rPr>
          <w:rFonts w:hint="eastAsia" w:ascii="宋体" w:hAnsi="宋体"/>
          <w:b/>
          <w:sz w:val="44"/>
          <w:szCs w:val="44"/>
        </w:rPr>
      </w:pPr>
      <w:r>
        <w:rPr>
          <w:rFonts w:hint="eastAsia" w:ascii="宋体" w:hAnsi="宋体"/>
          <w:b/>
          <w:sz w:val="44"/>
          <w:szCs w:val="44"/>
        </w:rPr>
        <w:t>（2021年9月修订）</w:t>
      </w:r>
    </w:p>
    <w:p>
      <w:pPr>
        <w:rPr>
          <w:rFonts w:hint="eastAsia" w:ascii="仿宋" w:hAnsi="仿宋" w:eastAsia="仿宋"/>
        </w:rPr>
      </w:pPr>
    </w:p>
    <w:p>
      <w:pPr>
        <w:numPr>
          <w:ilvl w:val="0"/>
          <w:numId w:val="8"/>
        </w:numPr>
        <w:spacing w:line="600" w:lineRule="exact"/>
        <w:ind w:firstLine="640" w:firstLineChars="200"/>
        <w:jc w:val="center"/>
        <w:rPr>
          <w:rFonts w:hint="eastAsia" w:ascii="黑体" w:hAnsi="黑体" w:eastAsia="黑体"/>
          <w:sz w:val="32"/>
          <w:szCs w:val="32"/>
        </w:rPr>
      </w:pPr>
      <w:r>
        <w:rPr>
          <w:rFonts w:hint="eastAsia" w:ascii="黑体" w:hAnsi="黑体" w:eastAsia="黑体"/>
          <w:sz w:val="32"/>
          <w:szCs w:val="32"/>
        </w:rPr>
        <w:t xml:space="preserve"> 总则</w:t>
      </w:r>
    </w:p>
    <w:p>
      <w:pPr>
        <w:spacing w:line="600" w:lineRule="exact"/>
        <w:rPr>
          <w:rFonts w:hint="eastAsia" w:ascii="黑体" w:hAnsi="黑体" w:eastAsia="黑体"/>
          <w:sz w:val="32"/>
          <w:szCs w:val="32"/>
        </w:rPr>
      </w:pPr>
    </w:p>
    <w:p>
      <w:pPr>
        <w:spacing w:line="60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广州市城壹物业发展有限公司东片区保障性住房及配套设备设施日常小额维修企业库的使用和管理，进一步规范小额建设工程交易活动，根据《中华人民共和国招标投标法》、《中华人民共和国招标投标法实施条例》、《广东省实施中华人民共和国招标投标法办法》、《必须招标的工程项目规定》、集团的相关采购管理办法及住房公司的采购管理（工程类）办法、广州市城壹物业发展有限公司（以下简称“城壹公司”）的采购管理（工程类）办法，并结合实际情况，制定本办法。</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本办法所指的广州市城壹物业发展有限公司东片区保障性住房及配套设备设施日常小额维修企业库（以下简称“小额</w:t>
      </w:r>
      <w:r>
        <w:rPr>
          <w:rFonts w:ascii="仿宋" w:hAnsi="仿宋" w:eastAsia="仿宋"/>
          <w:sz w:val="32"/>
          <w:szCs w:val="32"/>
        </w:rPr>
        <w:t>维修企业库</w:t>
      </w:r>
      <w:r>
        <w:rPr>
          <w:rFonts w:hint="eastAsia" w:ascii="仿宋" w:hAnsi="仿宋" w:eastAsia="仿宋"/>
          <w:sz w:val="32"/>
          <w:szCs w:val="32"/>
        </w:rPr>
        <w:t>”），是指广州市城壹物业发展有限公司依法公开建立的东片区保障</w:t>
      </w:r>
      <w:r>
        <w:rPr>
          <w:rFonts w:ascii="仿宋" w:hAnsi="仿宋" w:eastAsia="仿宋"/>
          <w:sz w:val="32"/>
          <w:szCs w:val="32"/>
        </w:rPr>
        <w:t>性住房及</w:t>
      </w:r>
      <w:r>
        <w:rPr>
          <w:rFonts w:hint="eastAsia" w:ascii="仿宋" w:hAnsi="仿宋" w:eastAsia="仿宋"/>
          <w:sz w:val="32"/>
          <w:szCs w:val="32"/>
        </w:rPr>
        <w:t>配套</w:t>
      </w:r>
      <w:r>
        <w:rPr>
          <w:rFonts w:ascii="仿宋" w:hAnsi="仿宋" w:eastAsia="仿宋"/>
          <w:sz w:val="32"/>
          <w:szCs w:val="32"/>
        </w:rPr>
        <w:t>设备设施小额维修企业</w:t>
      </w:r>
      <w:r>
        <w:rPr>
          <w:rFonts w:hint="eastAsia" w:ascii="仿宋" w:hAnsi="仿宋" w:eastAsia="仿宋"/>
          <w:sz w:val="32"/>
          <w:szCs w:val="32"/>
        </w:rPr>
        <w:t>库（所称工程包括建筑物和构筑物相关的装修、拆除、修缮等）。</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小额维修企业库的应用范围为单项维修项目金额400万元以内（不含400万元）。</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入库单位收到入选通知书后10日内需缴纳入库履约保证金2万元。退库时保证金无息退还，入库单位有违约行为并对我司造成损失的，违约金及相关损失费用在保证金中扣除。</w:t>
      </w:r>
    </w:p>
    <w:p>
      <w:pPr>
        <w:spacing w:line="600" w:lineRule="exact"/>
        <w:ind w:firstLine="640" w:firstLineChars="200"/>
        <w:jc w:val="center"/>
        <w:rPr>
          <w:rFonts w:hint="eastAsia" w:ascii="仿宋" w:hAnsi="仿宋" w:eastAsia="仿宋"/>
          <w:sz w:val="32"/>
          <w:szCs w:val="32"/>
        </w:rPr>
      </w:pPr>
    </w:p>
    <w:p>
      <w:pPr>
        <w:numPr>
          <w:ilvl w:val="0"/>
          <w:numId w:val="8"/>
        </w:numPr>
        <w:spacing w:line="600" w:lineRule="exact"/>
        <w:ind w:firstLine="640" w:firstLineChars="200"/>
        <w:jc w:val="center"/>
        <w:rPr>
          <w:rFonts w:hint="eastAsia" w:ascii="黑体" w:hAnsi="黑体" w:eastAsia="黑体"/>
          <w:sz w:val="32"/>
          <w:szCs w:val="32"/>
        </w:rPr>
      </w:pPr>
      <w:r>
        <w:rPr>
          <w:rFonts w:hint="eastAsia" w:ascii="黑体" w:hAnsi="黑体" w:eastAsia="黑体"/>
          <w:sz w:val="32"/>
          <w:szCs w:val="32"/>
        </w:rPr>
        <w:t xml:space="preserve"> 小额维修企业库的使用</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选用库内专业单位时必须遵循“公开、公平、公正、诚实信用”的原则。</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一、选定方式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分区摇珠方式：我司将参考近年各小区的维修报修量及预计未来发展和各小区的地理位置，以均衡及位置就近为原则，将</w:t>
      </w:r>
      <w:r>
        <w:rPr>
          <w:rFonts w:hint="eastAsia" w:ascii="仿宋" w:hAnsi="仿宋" w:eastAsia="仿宋"/>
          <w:sz w:val="32"/>
          <w:szCs w:val="32"/>
          <w:lang w:val="en-US" w:eastAsia="zh-CN"/>
        </w:rPr>
        <w:t>东片区保障性住房</w:t>
      </w:r>
      <w:r>
        <w:rPr>
          <w:rFonts w:hint="eastAsia" w:ascii="仿宋" w:hAnsi="仿宋" w:eastAsia="仿宋"/>
          <w:sz w:val="32"/>
          <w:szCs w:val="32"/>
        </w:rPr>
        <w:t>各小区划分为五个区，在审计风控部监督下，由工程管理部以摇珠方式确定每个分区的施工单位。</w:t>
      </w:r>
      <w:r>
        <w:rPr>
          <w:rStyle w:val="29"/>
          <w:rFonts w:hint="default" w:ascii="仿宋" w:hAnsi="仿宋" w:eastAsia="仿宋" w:cs="仿宋"/>
          <w:color w:val="auto"/>
          <w:sz w:val="32"/>
          <w:szCs w:val="32"/>
          <w:lang w:bidi="ar"/>
        </w:rPr>
        <w:t>分区满半年后</w:t>
      </w:r>
      <w:r>
        <w:rPr>
          <w:rFonts w:hint="eastAsia" w:ascii="仿宋" w:hAnsi="仿宋" w:eastAsia="仿宋" w:cs="仿宋"/>
          <w:sz w:val="32"/>
          <w:szCs w:val="32"/>
        </w:rPr>
        <w:t>，</w:t>
      </w:r>
      <w:r>
        <w:rPr>
          <w:rFonts w:hint="eastAsia" w:ascii="仿宋" w:hAnsi="仿宋" w:eastAsia="仿宋"/>
          <w:sz w:val="32"/>
          <w:szCs w:val="32"/>
        </w:rPr>
        <w:t>可根据</w:t>
      </w:r>
      <w:r>
        <w:rPr>
          <w:rStyle w:val="29"/>
          <w:rFonts w:hint="default" w:ascii="仿宋" w:hAnsi="仿宋" w:eastAsia="仿宋"/>
          <w:color w:val="auto"/>
          <w:sz w:val="32"/>
          <w:szCs w:val="32"/>
          <w:lang w:bidi="ar"/>
        </w:rPr>
        <w:t>实际情况</w:t>
      </w:r>
      <w:r>
        <w:rPr>
          <w:rStyle w:val="29"/>
          <w:rFonts w:hint="eastAsia" w:ascii="仿宋" w:hAnsi="仿宋" w:eastAsia="仿宋"/>
          <w:color w:val="auto"/>
          <w:sz w:val="32"/>
          <w:szCs w:val="32"/>
          <w:lang w:val="en-US" w:eastAsia="zh-CN" w:bidi="ar"/>
        </w:rPr>
        <w:t>经</w:t>
      </w:r>
      <w:r>
        <w:rPr>
          <w:rStyle w:val="29"/>
          <w:rFonts w:hint="default" w:ascii="仿宋" w:hAnsi="仿宋" w:eastAsia="仿宋"/>
          <w:color w:val="auto"/>
          <w:sz w:val="32"/>
          <w:szCs w:val="32"/>
          <w:lang w:bidi="ar"/>
        </w:rPr>
        <w:t>公司业务会签流程审批后调整项目分区并</w:t>
      </w:r>
      <w:r>
        <w:rPr>
          <w:rFonts w:hint="eastAsia" w:ascii="仿宋" w:hAnsi="仿宋" w:eastAsia="仿宋"/>
          <w:sz w:val="32"/>
          <w:szCs w:val="32"/>
        </w:rPr>
        <w:t>重新进行分区摇珠。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区域</w:t>
      </w:r>
      <w:r>
        <w:rPr>
          <w:rFonts w:hint="eastAsia" w:ascii="仿宋" w:hAnsi="仿宋" w:eastAsia="仿宋"/>
          <w:sz w:val="32"/>
          <w:szCs w:val="32"/>
        </w:rPr>
        <w:t>分区</w:t>
      </w:r>
      <w:r>
        <w:rPr>
          <w:rFonts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第一区</w:t>
      </w:r>
      <w:r>
        <w:rPr>
          <w:rFonts w:ascii="仿宋" w:hAnsi="仿宋" w:eastAsia="仿宋"/>
          <w:sz w:val="32"/>
          <w:szCs w:val="32"/>
        </w:rPr>
        <w:t>：</w:t>
      </w:r>
      <w:r>
        <w:rPr>
          <w:rFonts w:hint="eastAsia" w:ascii="仿宋" w:hAnsi="仿宋" w:eastAsia="仿宋"/>
          <w:sz w:val="32"/>
          <w:szCs w:val="32"/>
        </w:rPr>
        <w:t>萝岗和苑、亨元花园、苗和苑、榕悦花园、佳兆业盛世广场。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第二区</w:t>
      </w:r>
      <w:r>
        <w:rPr>
          <w:rFonts w:ascii="仿宋" w:hAnsi="仿宋" w:eastAsia="仿宋"/>
          <w:sz w:val="32"/>
          <w:szCs w:val="32"/>
        </w:rPr>
        <w:t>：</w:t>
      </w:r>
      <w:r>
        <w:rPr>
          <w:rFonts w:hint="eastAsia" w:ascii="仿宋" w:hAnsi="仿宋" w:eastAsia="仿宋"/>
          <w:sz w:val="32"/>
          <w:szCs w:val="32"/>
        </w:rPr>
        <w:t>瑞东花园</w:t>
      </w:r>
      <w:r>
        <w:rPr>
          <w:rFonts w:ascii="仿宋" w:hAnsi="仿宋" w:eastAsia="仿宋"/>
          <w:sz w:val="32"/>
          <w:szCs w:val="32"/>
        </w:rPr>
        <w:t>、</w:t>
      </w:r>
      <w:r>
        <w:rPr>
          <w:rFonts w:hint="eastAsia" w:ascii="仿宋" w:hAnsi="仿宋" w:eastAsia="仿宋"/>
          <w:sz w:val="32"/>
          <w:szCs w:val="32"/>
        </w:rPr>
        <w:t>保利瀚林花园、大田花园、黄埔区其它零散房源、</w:t>
      </w:r>
      <w:r>
        <w:rPr>
          <w:rFonts w:ascii="仿宋" w:hAnsi="仿宋" w:eastAsia="仿宋"/>
          <w:sz w:val="32"/>
          <w:szCs w:val="32"/>
        </w:rPr>
        <w:t>增城区。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第三区：广氮花园、安厦花园、</w:t>
      </w:r>
      <w:r>
        <w:rPr>
          <w:rFonts w:ascii="仿宋" w:hAnsi="仿宋" w:eastAsia="仿宋"/>
          <w:sz w:val="32"/>
          <w:szCs w:val="32"/>
        </w:rPr>
        <w:t>南沙区。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第四区：棠德新社区、棠悦花园、天河区其它零散房源。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第五区：棠德</w:t>
      </w:r>
      <w:r>
        <w:rPr>
          <w:rFonts w:hint="eastAsia" w:ascii="仿宋" w:hAnsi="仿宋" w:eastAsia="仿宋"/>
          <w:sz w:val="32"/>
          <w:szCs w:val="32"/>
          <w:lang w:val="en-US" w:eastAsia="zh-CN"/>
        </w:rPr>
        <w:t>花</w:t>
      </w:r>
      <w:r>
        <w:rPr>
          <w:rFonts w:hint="eastAsia" w:ascii="仿宋" w:hAnsi="仿宋" w:eastAsia="仿宋"/>
          <w:sz w:val="32"/>
          <w:szCs w:val="32"/>
        </w:rPr>
        <w:t>苑、泰安花园、大学城佳苑、</w:t>
      </w:r>
      <w:r>
        <w:rPr>
          <w:rFonts w:ascii="仿宋" w:hAnsi="仿宋" w:eastAsia="仿宋"/>
          <w:sz w:val="32"/>
          <w:szCs w:val="32"/>
        </w:rPr>
        <w:t>番禺区</w:t>
      </w:r>
      <w:r>
        <w:rPr>
          <w:rFonts w:hint="eastAsia" w:ascii="仿宋" w:hAnsi="仿宋" w:eastAsia="仿宋"/>
          <w:sz w:val="32"/>
          <w:szCs w:val="32"/>
        </w:rPr>
        <w:t>其它零散房源。</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如在实施过程中新增未进行区域分区的项目，工程管理部将以摇珠方式确定新增项目的施工单位。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在遇到紧急维修或特殊事件时，工程管理部可根据实际情况调配非所属分区的库内单位进行维修。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二、需</w:t>
      </w:r>
      <w:r>
        <w:rPr>
          <w:rFonts w:hint="eastAsia" w:ascii="仿宋" w:hAnsi="仿宋" w:eastAsia="仿宋"/>
          <w:sz w:val="32"/>
          <w:szCs w:val="32"/>
          <w:lang w:val="en-US" w:eastAsia="zh-CN"/>
        </w:rPr>
        <w:t>其他</w:t>
      </w:r>
      <w:r>
        <w:rPr>
          <w:rFonts w:hint="eastAsia" w:ascii="仿宋" w:hAnsi="仿宋" w:eastAsia="仿宋"/>
          <w:sz w:val="32"/>
          <w:szCs w:val="32"/>
        </w:rPr>
        <w:t>专业资质要求</w:t>
      </w:r>
      <w:r>
        <w:rPr>
          <w:rStyle w:val="29"/>
          <w:rFonts w:hint="default" w:ascii="仿宋" w:hAnsi="仿宋" w:eastAsia="仿宋" w:cs="仿宋"/>
          <w:color w:val="auto"/>
          <w:sz w:val="32"/>
          <w:szCs w:val="32"/>
          <w:lang w:bidi="ar"/>
        </w:rPr>
        <w:t>（即建库资质要求以外）</w:t>
      </w:r>
      <w:r>
        <w:rPr>
          <w:rFonts w:hint="eastAsia" w:ascii="仿宋" w:hAnsi="仿宋" w:eastAsia="仿宋"/>
          <w:sz w:val="32"/>
          <w:szCs w:val="32"/>
        </w:rPr>
        <w:t>的维修项目，我司可根据公司相关采购管理办法在企业库外选择专业单位。</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三、各部室职责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（一）工程管理部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1.负责对工程方案进行审核；负责现场施工全过程的监控和管理；会同相关部门协调解决纠纷事件。</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2.负责对小额企业库的合同履约情况进行全过程监督管理。</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3.负责对施工单位的工程进度进行管理和考核，对不能满足工期要求的，要及时督促施工单位解决好资源配置、施工组织、现场管理等方面存在的问题，必要时调整施工任务甚至清退出场。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4.负责对施工单位的安全、质量进行监督和检查。必须对工程质量进行全过程的有效监控，杜绝偷工减料、违章违规操作。</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5.根据现场的需求，按本办法</w:t>
      </w:r>
      <w:r>
        <w:rPr>
          <w:rFonts w:hint="eastAsia" w:ascii="仿宋" w:hAnsi="仿宋" w:eastAsia="仿宋"/>
          <w:sz w:val="32"/>
          <w:szCs w:val="32"/>
          <w:lang w:val="en-US" w:eastAsia="zh-CN"/>
        </w:rPr>
        <w:t>规</w:t>
      </w:r>
      <w:r>
        <w:rPr>
          <w:rFonts w:hint="eastAsia" w:ascii="仿宋" w:hAnsi="仿宋" w:eastAsia="仿宋"/>
          <w:sz w:val="32"/>
          <w:szCs w:val="32"/>
        </w:rPr>
        <w:t>定采用何种方式确定施工单位，并开展相关活动。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6.拟定合同范本，按程序报公司审批后，签订合同。</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7.负责按合同约定审核进度款和结算款。</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（二）财务部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1.负责审核施工、货物和服务采购经费分配，对采购成本计划的落实情况进行检查、监督；涉及资金支付的，做好采购资金预算管理、资金审核、拨付等事项；并对固定资产进行财务管理。</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（三）行政办公室</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rPr>
        <w:t xml:space="preserve"> </w:t>
      </w:r>
      <w:r>
        <w:rPr>
          <w:rFonts w:hint="eastAsia" w:ascii="仿宋" w:hAnsi="仿宋" w:eastAsia="仿宋"/>
          <w:sz w:val="32"/>
          <w:szCs w:val="32"/>
        </w:rPr>
        <w:t>参与小额维修企业库内摇珠工作。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 </w:t>
      </w:r>
      <w:r>
        <w:rPr>
          <w:rFonts w:hint="eastAsia" w:ascii="仿宋" w:hAnsi="仿宋" w:eastAsia="仿宋"/>
          <w:sz w:val="32"/>
          <w:szCs w:val="32"/>
        </w:rPr>
        <w:t>负责收集国家、集团、住房公司相关政策、法律法规文件等信息。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（四）审计风控部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1．负责对小额维修企业库内摇珠工作进行监督。</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（五）安全品质部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1.负责按照公司安全生产相关管理制度对库内单位在我司在管小区的维修过程中关于安全生产方面进行监督。</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（六）公司在管项目服务中心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1.负责对所属在管项目的维修现场施工全过程及安全生产的监控和管理并每季度进行考核。</w:t>
      </w:r>
    </w:p>
    <w:p>
      <w:pPr>
        <w:spacing w:line="600" w:lineRule="exact"/>
        <w:ind w:firstLine="640" w:firstLineChars="200"/>
        <w:rPr>
          <w:rFonts w:hint="eastAsia" w:ascii="仿宋" w:hAnsi="仿宋" w:eastAsia="仿宋"/>
          <w:sz w:val="32"/>
          <w:szCs w:val="32"/>
        </w:rPr>
      </w:pPr>
    </w:p>
    <w:p>
      <w:pPr>
        <w:numPr>
          <w:ilvl w:val="0"/>
          <w:numId w:val="8"/>
        </w:numPr>
        <w:spacing w:line="600" w:lineRule="exact"/>
        <w:ind w:firstLine="640" w:firstLineChars="200"/>
        <w:jc w:val="center"/>
        <w:rPr>
          <w:rFonts w:hint="eastAsia" w:ascii="黑体" w:hAnsi="黑体" w:eastAsia="黑体"/>
          <w:sz w:val="32"/>
          <w:szCs w:val="32"/>
        </w:rPr>
      </w:pPr>
      <w:r>
        <w:rPr>
          <w:rFonts w:hint="eastAsia" w:ascii="黑体" w:hAnsi="黑体" w:eastAsia="黑体"/>
          <w:sz w:val="32"/>
          <w:szCs w:val="32"/>
        </w:rPr>
        <w:t xml:space="preserve"> 小额维修企业库履约评价与考核</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库内单位履约情况的考核由工程管理部、各我司在管小区物业服务中心每季度进行一次考核，非我司在管小区的由工程管理</w:t>
      </w:r>
      <w:r>
        <w:rPr>
          <w:rFonts w:ascii="仿宋" w:hAnsi="仿宋" w:eastAsia="仿宋"/>
          <w:sz w:val="32"/>
          <w:szCs w:val="32"/>
        </w:rPr>
        <w:t>部</w:t>
      </w:r>
      <w:r>
        <w:rPr>
          <w:rFonts w:hint="eastAsia" w:ascii="仿宋" w:hAnsi="仿宋" w:eastAsia="仿宋"/>
          <w:sz w:val="32"/>
          <w:szCs w:val="32"/>
        </w:rPr>
        <w:t>进行考核。考核分别从安全生产、维修工期、信访投诉、维修资料等方面进行，具体考核评分内容(详见附件1)。</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考核方式为每家单位的基础分为100分，得分在90分及以上为A级，80分及以上至90分（不含90分）为B级，80分（不含80分）以下为C级。评分在C级的单位我司将控制使用，连续两个季度考核评分为C级或有清退出库行为的直接清退出库。</w:t>
      </w:r>
    </w:p>
    <w:p>
      <w:pPr>
        <w:spacing w:line="600" w:lineRule="exact"/>
        <w:ind w:firstLine="640" w:firstLineChars="200"/>
        <w:rPr>
          <w:rFonts w:ascii="仿宋" w:hAnsi="仿宋" w:eastAsia="仿宋" w:cs="宋体"/>
          <w:b/>
          <w:kern w:val="36"/>
          <w:sz w:val="32"/>
          <w:szCs w:val="32"/>
        </w:rPr>
      </w:pPr>
      <w:r>
        <w:rPr>
          <w:rFonts w:hint="eastAsia" w:ascii="仿宋" w:hAnsi="仿宋" w:eastAsia="仿宋"/>
          <w:sz w:val="32"/>
          <w:szCs w:val="32"/>
        </w:rPr>
        <w:t>库内单位考核处罚标准按照住房公司对我司的小额维修业务考核处罚标准的加倍原则，即考核评分每</w:t>
      </w:r>
      <w:r>
        <w:rPr>
          <w:rFonts w:hint="eastAsia" w:ascii="仿宋" w:hAnsi="仿宋" w:eastAsia="仿宋" w:cs="宋体"/>
          <w:sz w:val="32"/>
          <w:szCs w:val="32"/>
        </w:rPr>
        <w:t>扣0.1分，将</w:t>
      </w:r>
      <w:r>
        <w:rPr>
          <w:rFonts w:hint="eastAsia" w:ascii="仿宋" w:hAnsi="仿宋" w:eastAsia="仿宋"/>
          <w:sz w:val="32"/>
          <w:szCs w:val="32"/>
        </w:rPr>
        <w:t>按照该季度我司向住房公司申请的总结算款的0.02%进行处罚 ，如此类推。罚款必须在考核后1个月内支付，否则将暂停向该</w:t>
      </w:r>
      <w:r>
        <w:rPr>
          <w:rFonts w:ascii="仿宋" w:hAnsi="仿宋" w:eastAsia="仿宋"/>
          <w:sz w:val="32"/>
          <w:szCs w:val="32"/>
        </w:rPr>
        <w:t>维修单位</w:t>
      </w:r>
      <w:r>
        <w:rPr>
          <w:rFonts w:hint="eastAsia" w:ascii="仿宋" w:hAnsi="仿宋" w:eastAsia="仿宋"/>
          <w:sz w:val="32"/>
          <w:szCs w:val="32"/>
        </w:rPr>
        <w:t>派发《广州市城壹物业发展有限公司物业维修</w:t>
      </w:r>
      <w:r>
        <w:rPr>
          <w:rFonts w:ascii="仿宋" w:hAnsi="仿宋" w:eastAsia="仿宋"/>
          <w:sz w:val="32"/>
          <w:szCs w:val="32"/>
        </w:rPr>
        <w:t>开工</w:t>
      </w:r>
      <w:r>
        <w:rPr>
          <w:rFonts w:hint="eastAsia" w:ascii="仿宋" w:hAnsi="仿宋" w:eastAsia="仿宋"/>
          <w:sz w:val="32"/>
          <w:szCs w:val="32"/>
        </w:rPr>
        <w:t>通知》</w:t>
      </w:r>
      <w:r>
        <w:rPr>
          <w:rFonts w:ascii="仿宋" w:hAnsi="仿宋" w:eastAsia="仿宋"/>
          <w:sz w:val="32"/>
          <w:szCs w:val="32"/>
        </w:rPr>
        <w:t>直至</w:t>
      </w:r>
      <w:r>
        <w:rPr>
          <w:rFonts w:hint="eastAsia" w:ascii="仿宋" w:hAnsi="仿宋" w:eastAsia="仿宋"/>
          <w:sz w:val="32"/>
          <w:szCs w:val="32"/>
        </w:rPr>
        <w:t>完成</w:t>
      </w:r>
      <w:r>
        <w:rPr>
          <w:rFonts w:ascii="仿宋" w:hAnsi="仿宋" w:eastAsia="仿宋"/>
          <w:sz w:val="32"/>
          <w:szCs w:val="32"/>
        </w:rPr>
        <w:t>支付罚款</w:t>
      </w:r>
      <w:r>
        <w:rPr>
          <w:rFonts w:hint="eastAsia" w:ascii="仿宋" w:hAnsi="仿宋" w:eastAsia="仿宋"/>
          <w:sz w:val="32"/>
          <w:szCs w:val="32"/>
        </w:rPr>
        <w:t>，</w:t>
      </w:r>
      <w:r>
        <w:rPr>
          <w:rFonts w:ascii="仿宋" w:hAnsi="仿宋" w:eastAsia="仿宋"/>
          <w:sz w:val="32"/>
          <w:szCs w:val="32"/>
        </w:rPr>
        <w:t>该期间</w:t>
      </w:r>
      <w:r>
        <w:rPr>
          <w:rFonts w:hint="eastAsia" w:ascii="仿宋" w:hAnsi="仿宋" w:eastAsia="仿宋"/>
          <w:sz w:val="32"/>
          <w:szCs w:val="32"/>
        </w:rPr>
        <w:t>新维修</w:t>
      </w:r>
      <w:r>
        <w:rPr>
          <w:rFonts w:ascii="仿宋" w:hAnsi="仿宋" w:eastAsia="仿宋"/>
          <w:sz w:val="32"/>
          <w:szCs w:val="32"/>
        </w:rPr>
        <w:t>项目将</w:t>
      </w:r>
      <w:r>
        <w:rPr>
          <w:rFonts w:hint="eastAsia" w:ascii="仿宋" w:hAnsi="仿宋" w:eastAsia="仿宋"/>
          <w:sz w:val="32"/>
          <w:szCs w:val="32"/>
        </w:rPr>
        <w:t>调配非所属分区的库内单位进行维修。</w:t>
      </w:r>
    </w:p>
    <w:p>
      <w:pPr>
        <w:spacing w:line="600" w:lineRule="exact"/>
        <w:rPr>
          <w:rFonts w:hint="eastAsia" w:ascii="仿宋" w:hAnsi="仿宋" w:eastAsia="仿宋" w:cs="宋体"/>
          <w:b/>
          <w:kern w:val="36"/>
          <w:sz w:val="32"/>
          <w:szCs w:val="32"/>
        </w:rPr>
      </w:pPr>
    </w:p>
    <w:p>
      <w:pPr>
        <w:numPr>
          <w:ilvl w:val="0"/>
          <w:numId w:val="8"/>
        </w:numPr>
        <w:spacing w:line="600" w:lineRule="exact"/>
        <w:ind w:firstLine="640" w:firstLineChars="200"/>
        <w:jc w:val="center"/>
        <w:rPr>
          <w:rFonts w:hint="eastAsia" w:ascii="黑体" w:hAnsi="黑体" w:eastAsia="黑体"/>
          <w:sz w:val="32"/>
          <w:szCs w:val="32"/>
        </w:rPr>
      </w:pPr>
      <w:r>
        <w:rPr>
          <w:rFonts w:hint="eastAsia" w:ascii="黑体" w:hAnsi="黑体" w:eastAsia="黑体"/>
          <w:sz w:val="32"/>
          <w:szCs w:val="32"/>
        </w:rPr>
        <w:t xml:space="preserve"> 入库单位暂停、清退及递补</w:t>
      </w:r>
    </w:p>
    <w:p>
      <w:pPr>
        <w:spacing w:line="600" w:lineRule="exact"/>
        <w:ind w:firstLine="710" w:firstLineChars="221"/>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施工单位有以下任一情形的，将被清退出库：</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一、通过隐瞒、伪造、涂改、假借、挂靠、弄虚作假等非法手段取得入库资格的；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二、将承揽的项目违法分包、转包的；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三、承揽的项目在工程实施过程中发生挂靠现象的；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四、未兑现入库申请承诺的；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五、出现工人上访或其他群体性事件，造成恶劣影响的；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六、施工过程中发生施工质量出现问题、未能按工程进度施工、安全事故，造成恶劣影响的；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七、在履约过程中，向他人泄露我司商业机密，或通过其它渠道获取不正当利益的；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八、资质变更、取消不能承担相应工程的；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九、已纳入失信名单的、触犯其他法律、法规或有关规定禁止的情形。</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库内单位自愿退库的，需向我司递交退库书面申请，自递交退库申请之日起1年内，不得参与我司维修项目。</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为了确保采购活动得到充分竞争，组建合格入库单位名录至少应达到5家或以上。入库单位被清退出库后，产生的缺额由候补单位依次予以递补。</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库的有效期为2年，自建库完成后入库名单公示结束次日起计算，我司有权根据经营需要随时调整、终止。</w:t>
      </w:r>
    </w:p>
    <w:p>
      <w:pPr>
        <w:numPr>
          <w:ilvl w:val="0"/>
          <w:numId w:val="8"/>
        </w:numPr>
        <w:spacing w:line="600" w:lineRule="exact"/>
        <w:ind w:firstLine="640" w:firstLineChars="200"/>
        <w:jc w:val="center"/>
        <w:rPr>
          <w:rFonts w:hint="eastAsia" w:ascii="黑体" w:hAnsi="黑体" w:eastAsia="黑体"/>
          <w:sz w:val="32"/>
          <w:szCs w:val="32"/>
        </w:rPr>
      </w:pPr>
      <w:r>
        <w:rPr>
          <w:rFonts w:hint="eastAsia" w:ascii="黑体" w:hAnsi="黑体" w:eastAsia="黑体"/>
          <w:sz w:val="32"/>
          <w:szCs w:val="32"/>
        </w:rPr>
        <w:t xml:space="preserve"> 附则</w:t>
      </w:r>
    </w:p>
    <w:p>
      <w:pPr>
        <w:spacing w:line="600" w:lineRule="exact"/>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本办法由工程管理</w:t>
      </w:r>
      <w:r>
        <w:rPr>
          <w:rFonts w:ascii="仿宋" w:hAnsi="仿宋" w:eastAsia="仿宋"/>
          <w:sz w:val="32"/>
          <w:szCs w:val="32"/>
        </w:rPr>
        <w:t>部</w:t>
      </w:r>
      <w:r>
        <w:rPr>
          <w:rFonts w:hint="eastAsia" w:ascii="仿宋" w:hAnsi="仿宋" w:eastAsia="仿宋"/>
          <w:sz w:val="32"/>
          <w:szCs w:val="32"/>
        </w:rPr>
        <w:t>负责解释。</w:t>
      </w:r>
    </w:p>
    <w:p>
      <w:pPr>
        <w:spacing w:line="600" w:lineRule="exact"/>
        <w:ind w:firstLine="643" w:firstLineChars="200"/>
        <w:rPr>
          <w:rFonts w:ascii="仿宋" w:hAnsi="仿宋" w:eastAsia="仿宋" w:cs="宋体"/>
          <w:kern w:val="36"/>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本办法自公布之日起施行，原《</w:t>
      </w:r>
      <w:r>
        <w:rPr>
          <w:rFonts w:hint="eastAsia" w:ascii="仿宋" w:hAnsi="仿宋" w:eastAsia="仿宋" w:cs="宋体"/>
          <w:kern w:val="36"/>
          <w:sz w:val="32"/>
          <w:szCs w:val="32"/>
        </w:rPr>
        <w:t>广州市城</w:t>
      </w:r>
      <w:r>
        <w:rPr>
          <w:rFonts w:ascii="仿宋" w:hAnsi="仿宋" w:eastAsia="仿宋" w:cs="宋体"/>
          <w:kern w:val="36"/>
          <w:sz w:val="32"/>
          <w:szCs w:val="32"/>
        </w:rPr>
        <w:t>壹物业发展有限公司</w:t>
      </w:r>
      <w:r>
        <w:rPr>
          <w:rFonts w:hint="eastAsia" w:ascii="仿宋" w:hAnsi="仿宋" w:eastAsia="仿宋" w:cs="宋体"/>
          <w:kern w:val="36"/>
          <w:sz w:val="32"/>
          <w:szCs w:val="32"/>
        </w:rPr>
        <w:t>东片区保障性住房及商业设施设备小额物业维修企业库管理办法（试行）》（穗城投城物字[2019]41号）同时作废。</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入库单位承诺接受本办法管理及我司相关制度、规定管理。</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560" w:lineRule="exact"/>
        <w:ind w:left="1240" w:leftChars="200" w:hanging="800" w:hangingChars="250"/>
        <w:rPr>
          <w:rFonts w:ascii="仿宋" w:hAnsi="仿宋" w:eastAsia="仿宋" w:cs="宋体"/>
          <w:kern w:val="36"/>
          <w:sz w:val="32"/>
          <w:szCs w:val="32"/>
        </w:rPr>
      </w:pPr>
      <w:r>
        <w:rPr>
          <w:rFonts w:hint="eastAsia" w:ascii="仿宋" w:hAnsi="仿宋" w:eastAsia="仿宋"/>
          <w:sz w:val="32"/>
          <w:szCs w:val="32"/>
        </w:rPr>
        <w:t>附件：</w:t>
      </w:r>
      <w:r>
        <w:rPr>
          <w:rFonts w:hint="eastAsia" w:ascii="仿宋" w:hAnsi="仿宋" w:eastAsia="仿宋" w:cs="宋体"/>
          <w:kern w:val="36"/>
          <w:sz w:val="32"/>
          <w:szCs w:val="32"/>
        </w:rPr>
        <w:t>广州市城</w:t>
      </w:r>
      <w:r>
        <w:rPr>
          <w:rFonts w:ascii="仿宋" w:hAnsi="仿宋" w:eastAsia="仿宋" w:cs="宋体"/>
          <w:kern w:val="36"/>
          <w:sz w:val="32"/>
          <w:szCs w:val="32"/>
        </w:rPr>
        <w:t>壹物业发展有限公司</w:t>
      </w:r>
      <w:r>
        <w:rPr>
          <w:rFonts w:hint="eastAsia" w:ascii="仿宋" w:hAnsi="仿宋" w:eastAsia="仿宋" w:cs="宋体"/>
          <w:kern w:val="36"/>
          <w:sz w:val="32"/>
          <w:szCs w:val="32"/>
        </w:rPr>
        <w:t>东片区保障性住房及配套设备设施小额维修企业库履约考核表</w:t>
      </w: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560" w:lineRule="exact"/>
        <w:ind w:left="1240" w:leftChars="200" w:hanging="800" w:hangingChars="250"/>
        <w:rPr>
          <w:rFonts w:ascii="仿宋" w:hAnsi="仿宋" w:eastAsia="仿宋" w:cs="宋体"/>
          <w:kern w:val="36"/>
          <w:sz w:val="32"/>
          <w:szCs w:val="32"/>
        </w:rPr>
      </w:pPr>
    </w:p>
    <w:p>
      <w:pPr>
        <w:spacing w:line="360" w:lineRule="auto"/>
        <w:jc w:val="left"/>
        <w:rPr>
          <w:rFonts w:hint="eastAsia" w:ascii="仿宋" w:hAnsi="仿宋" w:eastAsia="仿宋" w:cs="宋体"/>
          <w:kern w:val="36"/>
          <w:sz w:val="32"/>
          <w:szCs w:val="32"/>
        </w:rPr>
      </w:pPr>
      <w:r>
        <w:rPr>
          <w:rFonts w:hint="eastAsia" w:ascii="仿宋" w:hAnsi="仿宋" w:eastAsia="仿宋" w:cs="仿宋"/>
          <w:b/>
          <w:bCs/>
          <w:iCs/>
          <w:sz w:val="32"/>
          <w:szCs w:val="32"/>
        </w:rPr>
        <w:t>附件：</w:t>
      </w:r>
    </w:p>
    <w:p>
      <w:pPr>
        <w:spacing w:line="360" w:lineRule="auto"/>
        <w:jc w:val="center"/>
        <w:rPr>
          <w:rFonts w:ascii="仿宋" w:hAnsi="仿宋" w:eastAsia="仿宋" w:cs="宋体"/>
          <w:kern w:val="36"/>
          <w:sz w:val="32"/>
          <w:szCs w:val="32"/>
        </w:rPr>
      </w:pPr>
      <w:r>
        <w:rPr>
          <w:rFonts w:hint="eastAsia" w:ascii="仿宋" w:hAnsi="仿宋" w:eastAsia="仿宋" w:cs="宋体"/>
          <w:kern w:val="36"/>
          <w:sz w:val="32"/>
          <w:szCs w:val="32"/>
        </w:rPr>
        <w:t>广州市城</w:t>
      </w:r>
      <w:r>
        <w:rPr>
          <w:rFonts w:ascii="仿宋" w:hAnsi="仿宋" w:eastAsia="仿宋" w:cs="宋体"/>
          <w:kern w:val="36"/>
          <w:sz w:val="32"/>
          <w:szCs w:val="32"/>
        </w:rPr>
        <w:t>壹物业发展有限公司</w:t>
      </w:r>
    </w:p>
    <w:p>
      <w:pPr>
        <w:spacing w:line="360" w:lineRule="auto"/>
        <w:jc w:val="center"/>
        <w:rPr>
          <w:rFonts w:hint="eastAsia" w:ascii="仿宋" w:hAnsi="仿宋" w:eastAsia="仿宋" w:cs="宋体"/>
          <w:kern w:val="36"/>
          <w:sz w:val="32"/>
          <w:szCs w:val="32"/>
        </w:rPr>
      </w:pPr>
      <w:r>
        <w:rPr>
          <w:rFonts w:hint="eastAsia" w:ascii="仿宋" w:hAnsi="仿宋" w:eastAsia="仿宋" w:cs="宋体"/>
          <w:kern w:val="36"/>
          <w:sz w:val="32"/>
          <w:szCs w:val="32"/>
        </w:rPr>
        <w:t>东片区保障性住房及配套设施设备日常小额维修企业库</w:t>
      </w:r>
    </w:p>
    <w:p>
      <w:pPr>
        <w:spacing w:line="360" w:lineRule="auto"/>
        <w:jc w:val="center"/>
        <w:rPr>
          <w:rFonts w:hint="eastAsia" w:ascii="仿宋" w:hAnsi="仿宋" w:eastAsia="仿宋" w:cs="宋体"/>
          <w:kern w:val="36"/>
          <w:sz w:val="32"/>
          <w:szCs w:val="32"/>
        </w:rPr>
      </w:pPr>
      <w:r>
        <w:rPr>
          <w:rFonts w:hint="eastAsia" w:ascii="仿宋" w:hAnsi="仿宋" w:eastAsia="仿宋" w:cs="宋体"/>
          <w:kern w:val="36"/>
          <w:sz w:val="32"/>
          <w:szCs w:val="32"/>
        </w:rPr>
        <w:t>（    ）年第（    ）季度履约考核表</w:t>
      </w:r>
    </w:p>
    <w:p>
      <w:pPr>
        <w:spacing w:line="360" w:lineRule="auto"/>
        <w:jc w:val="left"/>
        <w:rPr>
          <w:rFonts w:ascii="仿宋" w:hAnsi="仿宋" w:eastAsia="仿宋" w:cs="宋体"/>
          <w:kern w:val="36"/>
          <w:sz w:val="28"/>
          <w:szCs w:val="28"/>
        </w:rPr>
      </w:pPr>
      <w:r>
        <w:rPr>
          <w:rFonts w:hint="eastAsia" w:ascii="仿宋" w:hAnsi="仿宋" w:eastAsia="仿宋" w:cs="宋体"/>
          <w:kern w:val="36"/>
          <w:sz w:val="24"/>
          <w:szCs w:val="24"/>
        </w:rPr>
        <w:t xml:space="preserve">库内单位名称：                       所属片区：                     </w:t>
      </w:r>
    </w:p>
    <w:tbl>
      <w:tblPr>
        <w:tblStyle w:val="16"/>
        <w:tblpPr w:leftFromText="180" w:rightFromText="180" w:vertAnchor="text" w:horzAnchor="page" w:tblpX="1106" w:tblpY="148"/>
        <w:tblOverlap w:val="never"/>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81"/>
        <w:gridCol w:w="708"/>
        <w:gridCol w:w="2552"/>
        <w:gridCol w:w="567"/>
        <w:gridCol w:w="283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0"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89" w:type="dxa"/>
            <w:gridSpan w:val="2"/>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考核项目</w:t>
            </w:r>
          </w:p>
        </w:tc>
        <w:tc>
          <w:tcPr>
            <w:tcW w:w="2552"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考核内容</w:t>
            </w:r>
          </w:p>
        </w:tc>
        <w:tc>
          <w:tcPr>
            <w:tcW w:w="567"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满分</w:t>
            </w:r>
          </w:p>
        </w:tc>
        <w:tc>
          <w:tcPr>
            <w:tcW w:w="2834"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考核标准</w:t>
            </w:r>
          </w:p>
        </w:tc>
        <w:tc>
          <w:tcPr>
            <w:tcW w:w="1609"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核定评分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0"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一</w:t>
            </w:r>
          </w:p>
        </w:tc>
        <w:tc>
          <w:tcPr>
            <w:tcW w:w="8851" w:type="dxa"/>
            <w:gridSpan w:val="6"/>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b/>
                <w:kern w:val="36"/>
                <w:sz w:val="24"/>
                <w:szCs w:val="24"/>
                <w:lang w:eastAsia="en-US"/>
              </w:rPr>
              <w:t>履约评分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50" w:type="dxa"/>
            <w:vMerge w:val="restart"/>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81" w:type="dxa"/>
            <w:vMerge w:val="restart"/>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维修工期50分</w:t>
            </w:r>
          </w:p>
        </w:tc>
        <w:tc>
          <w:tcPr>
            <w:tcW w:w="708" w:type="dxa"/>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常态维修项目</w:t>
            </w:r>
          </w:p>
        </w:tc>
        <w:tc>
          <w:tcPr>
            <w:tcW w:w="2552"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根据《报修通知》规定的维修期限完成维修</w:t>
            </w:r>
          </w:p>
        </w:tc>
        <w:tc>
          <w:tcPr>
            <w:tcW w:w="567" w:type="dxa"/>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2834"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在规定维修期限内完成维修工作则不扣分；每延迟1宗维修则扣0.1分，经催告后仍无按期完成，每延迟1宗扣0.2分，以此类推，扣完此项分数为止。</w:t>
            </w:r>
          </w:p>
        </w:tc>
        <w:tc>
          <w:tcPr>
            <w:tcW w:w="1609" w:type="dxa"/>
            <w:noWrap/>
            <w:vAlign w:val="center"/>
          </w:tcPr>
          <w:p>
            <w:pPr>
              <w:spacing w:line="2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50" w:type="dxa"/>
            <w:vMerge w:val="continue"/>
            <w:noWrap/>
            <w:vAlign w:val="center"/>
          </w:tcPr>
          <w:p>
            <w:pPr>
              <w:spacing w:line="280" w:lineRule="exact"/>
              <w:jc w:val="center"/>
              <w:rPr>
                <w:rFonts w:hint="eastAsia" w:ascii="仿宋" w:hAnsi="仿宋" w:eastAsia="仿宋" w:cs="仿宋"/>
                <w:sz w:val="24"/>
                <w:szCs w:val="24"/>
              </w:rPr>
            </w:pPr>
          </w:p>
        </w:tc>
        <w:tc>
          <w:tcPr>
            <w:tcW w:w="581" w:type="dxa"/>
            <w:vMerge w:val="continue"/>
            <w:noWrap/>
            <w:vAlign w:val="center"/>
          </w:tcPr>
          <w:p>
            <w:pPr>
              <w:spacing w:line="240" w:lineRule="exact"/>
              <w:jc w:val="center"/>
              <w:rPr>
                <w:rFonts w:hint="eastAsia" w:ascii="仿宋" w:hAnsi="仿宋" w:eastAsia="仿宋" w:cs="仿宋"/>
                <w:sz w:val="24"/>
                <w:szCs w:val="24"/>
              </w:rPr>
            </w:pPr>
          </w:p>
        </w:tc>
        <w:tc>
          <w:tcPr>
            <w:tcW w:w="708" w:type="dxa"/>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紧急突发事故</w:t>
            </w:r>
          </w:p>
        </w:tc>
        <w:tc>
          <w:tcPr>
            <w:tcW w:w="2552"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在委托单位下达的规定时间内处理解决紧急突发事故</w:t>
            </w:r>
          </w:p>
        </w:tc>
        <w:tc>
          <w:tcPr>
            <w:tcW w:w="567" w:type="dxa"/>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2834"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如出现紧急特发事故，受委托单位按时完成任务，1次加3分；如延时无法完成任务，1次扣5分，扣完此项分数为止。</w:t>
            </w:r>
          </w:p>
        </w:tc>
        <w:tc>
          <w:tcPr>
            <w:tcW w:w="1609" w:type="dxa"/>
            <w:noWrap/>
            <w:vAlign w:val="center"/>
          </w:tcPr>
          <w:p>
            <w:pPr>
              <w:spacing w:line="2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50"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289" w:type="dxa"/>
            <w:gridSpan w:val="2"/>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服务投诉25分</w:t>
            </w:r>
          </w:p>
        </w:tc>
        <w:tc>
          <w:tcPr>
            <w:tcW w:w="2552"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12345服务投诉、云信访</w:t>
            </w:r>
          </w:p>
        </w:tc>
        <w:tc>
          <w:tcPr>
            <w:tcW w:w="567" w:type="dxa"/>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2834"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收到有效投诉1次扣0.2分，扣完此项分数为止。</w:t>
            </w:r>
          </w:p>
        </w:tc>
        <w:tc>
          <w:tcPr>
            <w:tcW w:w="1609" w:type="dxa"/>
            <w:noWrap/>
            <w:vAlign w:val="center"/>
          </w:tcPr>
          <w:p>
            <w:pPr>
              <w:spacing w:line="2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50"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289" w:type="dxa"/>
            <w:gridSpan w:val="2"/>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维修资料25分</w:t>
            </w:r>
          </w:p>
        </w:tc>
        <w:tc>
          <w:tcPr>
            <w:tcW w:w="2552"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按季度（下季度第一个月的10号前）向委托单位提交相关结算资料。</w:t>
            </w:r>
          </w:p>
        </w:tc>
        <w:tc>
          <w:tcPr>
            <w:tcW w:w="567" w:type="dxa"/>
            <w:noWrap/>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25</w:t>
            </w:r>
          </w:p>
        </w:tc>
        <w:tc>
          <w:tcPr>
            <w:tcW w:w="2834" w:type="dxa"/>
            <w:noWrap/>
            <w:vAlign w:val="center"/>
          </w:tcPr>
          <w:p>
            <w:pPr>
              <w:spacing w:line="240" w:lineRule="exact"/>
              <w:jc w:val="left"/>
              <w:rPr>
                <w:rFonts w:hint="eastAsia" w:ascii="仿宋" w:hAnsi="仿宋" w:eastAsia="仿宋" w:cs="仿宋"/>
                <w:sz w:val="24"/>
                <w:szCs w:val="24"/>
              </w:rPr>
            </w:pPr>
            <w:r>
              <w:rPr>
                <w:rFonts w:hint="eastAsia" w:ascii="仿宋" w:hAnsi="仿宋" w:eastAsia="仿宋" w:cs="仿宋"/>
                <w:sz w:val="24"/>
                <w:szCs w:val="24"/>
              </w:rPr>
              <w:t>提交的结算资料不完善，1次扣1分；不按时提交资料，1次扣1次，催告后7日内仍无提交双倍扣分，扣完此项分数为止。</w:t>
            </w:r>
          </w:p>
        </w:tc>
        <w:tc>
          <w:tcPr>
            <w:tcW w:w="1609" w:type="dxa"/>
            <w:noWrap/>
            <w:vAlign w:val="center"/>
          </w:tcPr>
          <w:p>
            <w:pPr>
              <w:spacing w:line="2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391" w:type="dxa"/>
            <w:gridSpan w:val="4"/>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季度考核分</w:t>
            </w:r>
          </w:p>
        </w:tc>
        <w:tc>
          <w:tcPr>
            <w:tcW w:w="567"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Cs w:val="21"/>
              </w:rPr>
              <w:t>100</w:t>
            </w:r>
          </w:p>
        </w:tc>
        <w:tc>
          <w:tcPr>
            <w:tcW w:w="2834" w:type="dxa"/>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09" w:type="dxa"/>
            <w:noWrap/>
            <w:vAlign w:val="center"/>
          </w:tcPr>
          <w:p>
            <w:pPr>
              <w:spacing w:line="2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二</w:t>
            </w:r>
          </w:p>
        </w:tc>
        <w:tc>
          <w:tcPr>
            <w:tcW w:w="8851" w:type="dxa"/>
            <w:gridSpan w:val="6"/>
            <w:noWrap/>
            <w:vAlign w:val="center"/>
          </w:tcPr>
          <w:p>
            <w:pPr>
              <w:spacing w:line="280" w:lineRule="exact"/>
              <w:jc w:val="center"/>
              <w:rPr>
                <w:rFonts w:hint="eastAsia" w:ascii="仿宋" w:hAnsi="仿宋" w:eastAsia="仿宋" w:cs="仿宋"/>
                <w:szCs w:val="21"/>
              </w:rPr>
            </w:pPr>
            <w:r>
              <w:rPr>
                <w:rFonts w:hint="eastAsia" w:ascii="仿宋" w:hAnsi="仿宋" w:eastAsia="仿宋" w:cs="仿宋"/>
                <w:b/>
                <w:bCs/>
                <w:kern w:val="36"/>
                <w:sz w:val="24"/>
                <w:szCs w:val="24"/>
              </w:rPr>
              <w:t>清退出库情形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4</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通过隐瞒、伪造、涂改、假借、挂靠、弄虚作假等非法手段取得入库资格的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restart"/>
            <w:noWrap/>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出现任一项时，评价总得分为零，并清退出库。</w:t>
            </w:r>
          </w:p>
          <w:p>
            <w:pPr>
              <w:tabs>
                <w:tab w:val="left" w:pos="571"/>
              </w:tabs>
              <w:spacing w:line="280" w:lineRule="exact"/>
              <w:jc w:val="left"/>
              <w:rPr>
                <w:rFonts w:hint="eastAsia" w:ascii="仿宋" w:hAnsi="仿宋" w:eastAsia="仿宋" w:cs="仿宋"/>
                <w:szCs w:val="21"/>
              </w:rPr>
            </w:pPr>
            <w:r>
              <w:rPr>
                <w:rFonts w:hint="eastAsia" w:ascii="仿宋" w:hAnsi="仿宋" w:eastAsia="仿宋" w:cs="仿宋"/>
                <w:szCs w:val="21"/>
              </w:rPr>
              <w:tab/>
            </w:r>
            <w:r>
              <w:rPr>
                <w:rFonts w:hint="eastAsia" w:ascii="仿宋" w:hAnsi="仿宋" w:eastAsia="仿宋" w:cs="仿宋"/>
                <w:sz w:val="24"/>
                <w:szCs w:val="24"/>
              </w:rPr>
              <w:t>出现任一项时，评价总得分为零，并清退出库。</w:t>
            </w: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5</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将承揽的项目违法分包、转包的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spacing w:line="280" w:lineRule="exact"/>
              <w:jc w:val="center"/>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6</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承揽的项目在工程实施过程中发生挂靠现象的；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spacing w:line="280" w:lineRule="exact"/>
              <w:jc w:val="center"/>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7</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未兑现入库申请承诺的；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spacing w:line="280" w:lineRule="exact"/>
              <w:jc w:val="center"/>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8</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出现工人集体上访或其他群体性事件的，造成恶劣影响的；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spacing w:line="280" w:lineRule="exact"/>
              <w:jc w:val="center"/>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9</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施工过程中项目发生质量、工程进度、安全事故造成恶劣影响的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spacing w:line="280" w:lineRule="exact"/>
              <w:jc w:val="center"/>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10</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在履约过程中，向他人泄露我司商业机密，或其它不正当利益的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tabs>
                <w:tab w:val="left" w:pos="571"/>
              </w:tabs>
              <w:spacing w:line="280" w:lineRule="exact"/>
              <w:jc w:val="left"/>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11</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资质变更、取消不能承担相应工程的</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spacing w:line="280" w:lineRule="exact"/>
              <w:jc w:val="center"/>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50" w:type="dxa"/>
            <w:noWrap/>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12</w:t>
            </w:r>
          </w:p>
        </w:tc>
        <w:tc>
          <w:tcPr>
            <w:tcW w:w="3841" w:type="dxa"/>
            <w:gridSpan w:val="3"/>
            <w:noWrap/>
            <w:vAlign w:val="center"/>
          </w:tcPr>
          <w:p>
            <w:pPr>
              <w:spacing w:line="400" w:lineRule="exact"/>
              <w:jc w:val="left"/>
              <w:rPr>
                <w:rFonts w:hint="eastAsia" w:ascii="仿宋" w:hAnsi="仿宋" w:eastAsia="仿宋" w:cs="仿宋"/>
                <w:szCs w:val="21"/>
              </w:rPr>
            </w:pPr>
            <w:r>
              <w:rPr>
                <w:rFonts w:hint="eastAsia" w:ascii="仿宋" w:hAnsi="仿宋" w:eastAsia="仿宋" w:cs="仿宋"/>
                <w:kern w:val="36"/>
                <w:sz w:val="24"/>
                <w:szCs w:val="24"/>
              </w:rPr>
              <w:t>已纳入失信名单的，触犯其他法律、法规或有关规定禁止的情形</w:t>
            </w:r>
          </w:p>
        </w:tc>
        <w:tc>
          <w:tcPr>
            <w:tcW w:w="567" w:type="dxa"/>
            <w:noWrap/>
            <w:vAlign w:val="center"/>
          </w:tcPr>
          <w:p>
            <w:pPr>
              <w:spacing w:line="280" w:lineRule="exact"/>
              <w:jc w:val="center"/>
              <w:rPr>
                <w:rFonts w:hint="eastAsia" w:ascii="仿宋" w:hAnsi="仿宋" w:eastAsia="仿宋" w:cs="仿宋"/>
                <w:szCs w:val="21"/>
              </w:rPr>
            </w:pPr>
          </w:p>
        </w:tc>
        <w:tc>
          <w:tcPr>
            <w:tcW w:w="2834" w:type="dxa"/>
            <w:vMerge w:val="continue"/>
            <w:noWrap/>
            <w:vAlign w:val="center"/>
          </w:tcPr>
          <w:p>
            <w:pPr>
              <w:spacing w:line="280" w:lineRule="exact"/>
              <w:jc w:val="center"/>
              <w:rPr>
                <w:rFonts w:hint="eastAsia" w:ascii="仿宋" w:hAnsi="仿宋" w:eastAsia="仿宋" w:cs="仿宋"/>
                <w:szCs w:val="21"/>
              </w:rPr>
            </w:pPr>
          </w:p>
        </w:tc>
        <w:tc>
          <w:tcPr>
            <w:tcW w:w="1609" w:type="dxa"/>
            <w:noWrap/>
            <w:vAlign w:val="center"/>
          </w:tcPr>
          <w:p>
            <w:pPr>
              <w:spacing w:line="280" w:lineRule="exact"/>
              <w:jc w:val="center"/>
              <w:rPr>
                <w:rFonts w:hint="eastAsia" w:ascii="仿宋" w:hAnsi="仿宋" w:eastAsia="仿宋" w:cs="仿宋"/>
                <w:szCs w:val="21"/>
              </w:rPr>
            </w:pPr>
          </w:p>
        </w:tc>
      </w:tr>
    </w:tbl>
    <w:p>
      <w:pPr>
        <w:spacing w:line="400" w:lineRule="exact"/>
        <w:outlineLvl w:val="0"/>
        <w:rPr>
          <w:rFonts w:ascii="仿宋" w:hAnsi="仿宋" w:eastAsia="仿宋" w:cs="仿宋"/>
          <w:kern w:val="36"/>
          <w:sz w:val="24"/>
          <w:szCs w:val="24"/>
          <w:u w:val="single"/>
        </w:rPr>
      </w:pPr>
      <w:r>
        <w:rPr>
          <w:rFonts w:hint="eastAsia" w:ascii="仿宋" w:hAnsi="仿宋" w:eastAsia="仿宋" w:cs="仿宋"/>
          <w:kern w:val="36"/>
          <w:sz w:val="24"/>
          <w:szCs w:val="24"/>
          <w:u w:val="single"/>
        </w:rPr>
        <w:t>备注：各在管小区物业服务中心只需对第（一）项履约评分中的1、2分项进行核定评分</w:t>
      </w:r>
    </w:p>
    <w:p>
      <w:pPr>
        <w:spacing w:line="400" w:lineRule="exact"/>
        <w:outlineLvl w:val="0"/>
        <w:rPr>
          <w:rFonts w:hint="eastAsia" w:ascii="仿宋" w:hAnsi="仿宋" w:eastAsia="仿宋" w:cs="仿宋"/>
          <w:kern w:val="36"/>
          <w:sz w:val="24"/>
          <w:szCs w:val="24"/>
          <w:u w:val="single"/>
        </w:rPr>
      </w:pPr>
    </w:p>
    <w:p>
      <w:pPr>
        <w:spacing w:line="400" w:lineRule="exact"/>
        <w:outlineLvl w:val="0"/>
        <w:rPr>
          <w:rFonts w:hint="eastAsia" w:ascii="仿宋" w:hAnsi="仿宋" w:eastAsia="仿宋" w:cs="仿宋"/>
          <w:kern w:val="36"/>
          <w:sz w:val="24"/>
          <w:szCs w:val="24"/>
          <w:u w:val="single"/>
        </w:rPr>
      </w:pPr>
    </w:p>
    <w:p>
      <w:pPr>
        <w:spacing w:line="400" w:lineRule="exact"/>
        <w:outlineLvl w:val="0"/>
        <w:rPr>
          <w:rFonts w:hint="eastAsia" w:ascii="仿宋" w:hAnsi="仿宋" w:eastAsia="仿宋" w:cs="仿宋"/>
          <w:kern w:val="36"/>
          <w:sz w:val="24"/>
          <w:szCs w:val="24"/>
        </w:rPr>
      </w:pPr>
      <w:r>
        <w:rPr>
          <w:rFonts w:hint="eastAsia" w:ascii="仿宋" w:hAnsi="仿宋" w:eastAsia="仿宋" w:cs="仿宋"/>
          <w:kern w:val="36"/>
          <w:sz w:val="24"/>
          <w:szCs w:val="24"/>
        </w:rPr>
        <w:t>评分人：               部门：                公司领导：</w:t>
      </w:r>
    </w:p>
    <w:p>
      <w:pPr>
        <w:spacing w:line="400" w:lineRule="exact"/>
        <w:outlineLvl w:val="0"/>
        <w:rPr>
          <w:rFonts w:hint="eastAsia" w:ascii="仿宋" w:hAnsi="仿宋" w:eastAsia="仿宋" w:cs="仿宋"/>
          <w:kern w:val="36"/>
          <w:sz w:val="24"/>
          <w:szCs w:val="24"/>
        </w:rPr>
      </w:pPr>
    </w:p>
    <w:p>
      <w:pPr>
        <w:spacing w:line="400" w:lineRule="exact"/>
        <w:outlineLvl w:val="0"/>
        <w:rPr>
          <w:rFonts w:hint="eastAsia" w:ascii="仿宋" w:hAnsi="仿宋" w:eastAsia="仿宋" w:cs="仿宋"/>
          <w:kern w:val="36"/>
          <w:sz w:val="24"/>
          <w:szCs w:val="24"/>
        </w:rPr>
      </w:pPr>
      <w:r>
        <w:rPr>
          <w:rFonts w:hint="eastAsia" w:ascii="仿宋" w:hAnsi="仿宋" w:eastAsia="仿宋" w:cs="仿宋"/>
          <w:kern w:val="36"/>
          <w:sz w:val="24"/>
          <w:szCs w:val="24"/>
        </w:rPr>
        <w:t>库内单位确认：</w:t>
      </w:r>
    </w:p>
    <w:p>
      <w:pPr>
        <w:spacing w:line="400" w:lineRule="exact"/>
        <w:outlineLvl w:val="0"/>
        <w:rPr>
          <w:rFonts w:hint="eastAsia" w:ascii="仿宋" w:hAnsi="仿宋" w:eastAsia="仿宋" w:cs="仿宋"/>
          <w:kern w:val="36"/>
          <w:sz w:val="24"/>
          <w:szCs w:val="24"/>
        </w:rPr>
      </w:pPr>
    </w:p>
    <w:p>
      <w:pPr>
        <w:spacing w:line="400" w:lineRule="exact"/>
        <w:outlineLvl w:val="0"/>
        <w:rPr>
          <w:rFonts w:hint="eastAsia" w:ascii="仿宋" w:hAnsi="仿宋" w:eastAsia="仿宋" w:cs="仿宋"/>
          <w:kern w:val="36"/>
          <w:sz w:val="24"/>
          <w:szCs w:val="24"/>
        </w:rPr>
      </w:pPr>
      <w:r>
        <w:rPr>
          <w:rFonts w:hint="eastAsia" w:ascii="仿宋" w:hAnsi="仿宋" w:eastAsia="仿宋" w:cs="仿宋"/>
          <w:kern w:val="36"/>
          <w:sz w:val="24"/>
          <w:szCs w:val="24"/>
        </w:rPr>
        <w:t>日期：</w:t>
      </w:r>
    </w:p>
    <w:p>
      <w:pPr>
        <w:spacing w:line="400" w:lineRule="exact"/>
        <w:outlineLvl w:val="0"/>
        <w:rPr>
          <w:rFonts w:hint="eastAsia" w:ascii="宋体" w:hAnsi="宋体" w:cs="宋体"/>
          <w:kern w:val="36"/>
          <w:szCs w:val="21"/>
        </w:rPr>
      </w:pPr>
    </w:p>
    <w:p>
      <w:pPr>
        <w:pStyle w:val="20"/>
        <w:spacing w:line="360" w:lineRule="auto"/>
        <w:ind w:left="0" w:leftChars="0" w:firstLine="480" w:firstLineChars="200"/>
        <w:rPr>
          <w:rFonts w:hint="eastAsia"/>
          <w:sz w:val="24"/>
          <w:highlight w:val="none"/>
          <w:lang w:val="zh-CN" w:eastAsia="zh-CN"/>
        </w:rPr>
      </w:pPr>
    </w:p>
    <w:sectPr>
      <w:pgSz w:w="11910" w:h="16850"/>
      <w:pgMar w:top="1440" w:right="1080" w:bottom="1440" w:left="1080" w:header="0" w:footer="7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49" o:spid="_x0000_s2049" o:spt="202" type="#_x0000_t202" style="position:absolute;left:0pt;margin-left:283.6pt;margin-top:785.45pt;height:12pt;width:2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pacing w:val="-22"/>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0" o:spid="_x0000_s2050" o:spt="202" type="#_x0000_t202" style="position:absolute;left:0pt;margin-left:281.35pt;margin-top:794.45pt;height:12pt;width:33.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pacing w:val="-22"/>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2FBF8"/>
    <w:multiLevelType w:val="singleLevel"/>
    <w:tmpl w:val="A612FBF8"/>
    <w:lvl w:ilvl="0" w:tentative="0">
      <w:start w:val="1"/>
      <w:numFmt w:val="chineseCounting"/>
      <w:suff w:val="space"/>
      <w:lvlText w:val="第%1章"/>
      <w:lvlJc w:val="left"/>
      <w:rPr>
        <w:rFonts w:hint="eastAsia"/>
      </w:rPr>
    </w:lvl>
  </w:abstractNum>
  <w:abstractNum w:abstractNumId="1">
    <w:nsid w:val="B7F68FD3"/>
    <w:multiLevelType w:val="singleLevel"/>
    <w:tmpl w:val="B7F68FD3"/>
    <w:lvl w:ilvl="0" w:tentative="0">
      <w:start w:val="6"/>
      <w:numFmt w:val="decimal"/>
      <w:suff w:val="nothing"/>
      <w:lvlText w:val="（%1）"/>
      <w:lvlJc w:val="left"/>
    </w:lvl>
  </w:abstractNum>
  <w:abstractNum w:abstractNumId="2">
    <w:nsid w:val="C4A4EA47"/>
    <w:multiLevelType w:val="singleLevel"/>
    <w:tmpl w:val="C4A4EA47"/>
    <w:lvl w:ilvl="0" w:tentative="0">
      <w:start w:val="11"/>
      <w:numFmt w:val="chineseCounting"/>
      <w:suff w:val="nothing"/>
      <w:lvlText w:val="%1、"/>
      <w:lvlJc w:val="left"/>
      <w:rPr>
        <w:rFonts w:hint="eastAsia"/>
      </w:rPr>
    </w:lvl>
  </w:abstractNum>
  <w:abstractNum w:abstractNumId="3">
    <w:nsid w:val="05F4F7BE"/>
    <w:multiLevelType w:val="singleLevel"/>
    <w:tmpl w:val="05F4F7BE"/>
    <w:lvl w:ilvl="0" w:tentative="0">
      <w:start w:val="2"/>
      <w:numFmt w:val="decimal"/>
      <w:lvlText w:val="%1."/>
      <w:lvlJc w:val="left"/>
      <w:pPr>
        <w:tabs>
          <w:tab w:val="left" w:pos="312"/>
        </w:tabs>
      </w:pPr>
    </w:lvl>
  </w:abstractNum>
  <w:abstractNum w:abstractNumId="4">
    <w:nsid w:val="34892925"/>
    <w:multiLevelType w:val="singleLevel"/>
    <w:tmpl w:val="34892925"/>
    <w:lvl w:ilvl="0" w:tentative="0">
      <w:start w:val="1"/>
      <w:numFmt w:val="decimal"/>
      <w:lvlText w:val="%1."/>
      <w:lvlJc w:val="left"/>
      <w:pPr>
        <w:tabs>
          <w:tab w:val="left" w:pos="312"/>
        </w:tabs>
      </w:pPr>
    </w:lvl>
  </w:abstractNum>
  <w:abstractNum w:abstractNumId="5">
    <w:nsid w:val="54AF599D"/>
    <w:multiLevelType w:val="singleLevel"/>
    <w:tmpl w:val="54AF599D"/>
    <w:lvl w:ilvl="0" w:tentative="0">
      <w:start w:val="1"/>
      <w:numFmt w:val="chineseCounting"/>
      <w:suff w:val="nothing"/>
      <w:lvlText w:val="%1、"/>
      <w:lvlJc w:val="left"/>
      <w:rPr>
        <w:b/>
      </w:rPr>
    </w:lvl>
  </w:abstractNum>
  <w:abstractNum w:abstractNumId="6">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1BFF0E"/>
    <w:multiLevelType w:val="singleLevel"/>
    <w:tmpl w:val="751BFF0E"/>
    <w:lvl w:ilvl="0" w:tentative="0">
      <w:start w:val="1"/>
      <w:numFmt w:val="decimal"/>
      <w:suff w:val="space"/>
      <w:lvlText w:val="%1."/>
      <w:lvlJc w:val="left"/>
      <w:rPr>
        <w:color w:val="auto"/>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8A2F7D"/>
    <w:rsid w:val="018E449A"/>
    <w:rsid w:val="01926577"/>
    <w:rsid w:val="02722F77"/>
    <w:rsid w:val="02C2795E"/>
    <w:rsid w:val="038466CB"/>
    <w:rsid w:val="04085134"/>
    <w:rsid w:val="04097A38"/>
    <w:rsid w:val="040E0D29"/>
    <w:rsid w:val="05065038"/>
    <w:rsid w:val="05184768"/>
    <w:rsid w:val="05476990"/>
    <w:rsid w:val="05516608"/>
    <w:rsid w:val="057B1CA8"/>
    <w:rsid w:val="05C514D8"/>
    <w:rsid w:val="060875CA"/>
    <w:rsid w:val="06A33002"/>
    <w:rsid w:val="06C3052A"/>
    <w:rsid w:val="078B772A"/>
    <w:rsid w:val="08113BC3"/>
    <w:rsid w:val="088667CE"/>
    <w:rsid w:val="089053BA"/>
    <w:rsid w:val="09025095"/>
    <w:rsid w:val="09D82BE3"/>
    <w:rsid w:val="09FB0D85"/>
    <w:rsid w:val="0AB914CC"/>
    <w:rsid w:val="0B5E12D0"/>
    <w:rsid w:val="0B961F75"/>
    <w:rsid w:val="0C1B61F3"/>
    <w:rsid w:val="0C3775D2"/>
    <w:rsid w:val="0C4C5D7F"/>
    <w:rsid w:val="0CC91510"/>
    <w:rsid w:val="0CF065EA"/>
    <w:rsid w:val="0D015CDE"/>
    <w:rsid w:val="0DCF52C7"/>
    <w:rsid w:val="0E0B6A37"/>
    <w:rsid w:val="0E5C2057"/>
    <w:rsid w:val="0FBB75D2"/>
    <w:rsid w:val="101F49CB"/>
    <w:rsid w:val="104E17BD"/>
    <w:rsid w:val="10A731C7"/>
    <w:rsid w:val="11563A63"/>
    <w:rsid w:val="11E71121"/>
    <w:rsid w:val="122B0612"/>
    <w:rsid w:val="126157D8"/>
    <w:rsid w:val="12664E3F"/>
    <w:rsid w:val="12710C72"/>
    <w:rsid w:val="127E5463"/>
    <w:rsid w:val="130544F5"/>
    <w:rsid w:val="134502FF"/>
    <w:rsid w:val="13D12F6B"/>
    <w:rsid w:val="1514471B"/>
    <w:rsid w:val="158839EE"/>
    <w:rsid w:val="15DF7654"/>
    <w:rsid w:val="160C28CB"/>
    <w:rsid w:val="16644F67"/>
    <w:rsid w:val="16F56C8D"/>
    <w:rsid w:val="1740224F"/>
    <w:rsid w:val="174D2602"/>
    <w:rsid w:val="1750073C"/>
    <w:rsid w:val="17C402AF"/>
    <w:rsid w:val="18FE6B89"/>
    <w:rsid w:val="197676DB"/>
    <w:rsid w:val="19B713C7"/>
    <w:rsid w:val="1A577B18"/>
    <w:rsid w:val="1BE81E9D"/>
    <w:rsid w:val="1CC01989"/>
    <w:rsid w:val="1E1F44EF"/>
    <w:rsid w:val="1E7F6472"/>
    <w:rsid w:val="20EF5FC0"/>
    <w:rsid w:val="20F57C5B"/>
    <w:rsid w:val="21BE74B5"/>
    <w:rsid w:val="220002C1"/>
    <w:rsid w:val="22337E1C"/>
    <w:rsid w:val="22911436"/>
    <w:rsid w:val="229914E8"/>
    <w:rsid w:val="22EC6CC1"/>
    <w:rsid w:val="2318447B"/>
    <w:rsid w:val="24354B38"/>
    <w:rsid w:val="248E621D"/>
    <w:rsid w:val="24D32510"/>
    <w:rsid w:val="2584645E"/>
    <w:rsid w:val="26953519"/>
    <w:rsid w:val="26BF00BB"/>
    <w:rsid w:val="27BF686C"/>
    <w:rsid w:val="28275EFF"/>
    <w:rsid w:val="28451950"/>
    <w:rsid w:val="286273D8"/>
    <w:rsid w:val="28D46C89"/>
    <w:rsid w:val="29876050"/>
    <w:rsid w:val="29A36374"/>
    <w:rsid w:val="29F07B78"/>
    <w:rsid w:val="2A3054EA"/>
    <w:rsid w:val="2A9B0591"/>
    <w:rsid w:val="2AF30A17"/>
    <w:rsid w:val="2C08105D"/>
    <w:rsid w:val="2C77648C"/>
    <w:rsid w:val="2C7F46B3"/>
    <w:rsid w:val="2CAA3FB9"/>
    <w:rsid w:val="2CDA2DDF"/>
    <w:rsid w:val="2D0741D2"/>
    <w:rsid w:val="2D147038"/>
    <w:rsid w:val="2D396091"/>
    <w:rsid w:val="2D6116D3"/>
    <w:rsid w:val="2D641B0B"/>
    <w:rsid w:val="2DD66816"/>
    <w:rsid w:val="2E6273CC"/>
    <w:rsid w:val="2E8A710D"/>
    <w:rsid w:val="2EC7158C"/>
    <w:rsid w:val="2ECF71BA"/>
    <w:rsid w:val="2EDD5CAC"/>
    <w:rsid w:val="2EFB7C04"/>
    <w:rsid w:val="30775739"/>
    <w:rsid w:val="3103765A"/>
    <w:rsid w:val="3176748D"/>
    <w:rsid w:val="318A1F2E"/>
    <w:rsid w:val="31A648B8"/>
    <w:rsid w:val="31C03CE7"/>
    <w:rsid w:val="31E34608"/>
    <w:rsid w:val="320763AF"/>
    <w:rsid w:val="33B919D7"/>
    <w:rsid w:val="34E66F3B"/>
    <w:rsid w:val="34F0348E"/>
    <w:rsid w:val="35175CF9"/>
    <w:rsid w:val="35312B77"/>
    <w:rsid w:val="355E37FE"/>
    <w:rsid w:val="363B5C37"/>
    <w:rsid w:val="377464FB"/>
    <w:rsid w:val="37885CCE"/>
    <w:rsid w:val="382732A4"/>
    <w:rsid w:val="3912116C"/>
    <w:rsid w:val="39382585"/>
    <w:rsid w:val="3AAC4867"/>
    <w:rsid w:val="3AC07CDE"/>
    <w:rsid w:val="3B3662E9"/>
    <w:rsid w:val="3B574BA7"/>
    <w:rsid w:val="3B824B8E"/>
    <w:rsid w:val="3BC47ABA"/>
    <w:rsid w:val="3BD36500"/>
    <w:rsid w:val="3C326312"/>
    <w:rsid w:val="3C3F67A2"/>
    <w:rsid w:val="3C8645E3"/>
    <w:rsid w:val="3CD13510"/>
    <w:rsid w:val="3CD4429F"/>
    <w:rsid w:val="3D0A1352"/>
    <w:rsid w:val="3D5E6929"/>
    <w:rsid w:val="3D7B4358"/>
    <w:rsid w:val="3DB40939"/>
    <w:rsid w:val="3DFE09BD"/>
    <w:rsid w:val="3E60320E"/>
    <w:rsid w:val="3EB547CA"/>
    <w:rsid w:val="3EF87235"/>
    <w:rsid w:val="3F903E4A"/>
    <w:rsid w:val="3FCB255F"/>
    <w:rsid w:val="3FF67654"/>
    <w:rsid w:val="40112A8A"/>
    <w:rsid w:val="403624C4"/>
    <w:rsid w:val="4073285E"/>
    <w:rsid w:val="40B15EC4"/>
    <w:rsid w:val="417044DE"/>
    <w:rsid w:val="419A1C3F"/>
    <w:rsid w:val="41EB2F4D"/>
    <w:rsid w:val="422E503B"/>
    <w:rsid w:val="424F10CA"/>
    <w:rsid w:val="428C71B1"/>
    <w:rsid w:val="42C460AE"/>
    <w:rsid w:val="436D4A76"/>
    <w:rsid w:val="43BE1F8E"/>
    <w:rsid w:val="44131CD9"/>
    <w:rsid w:val="451C2797"/>
    <w:rsid w:val="457644E4"/>
    <w:rsid w:val="459D7373"/>
    <w:rsid w:val="475005BB"/>
    <w:rsid w:val="47563CD2"/>
    <w:rsid w:val="483623ED"/>
    <w:rsid w:val="489957EF"/>
    <w:rsid w:val="48CE51B0"/>
    <w:rsid w:val="48D1686A"/>
    <w:rsid w:val="496937FD"/>
    <w:rsid w:val="498F5AB4"/>
    <w:rsid w:val="4A2A1401"/>
    <w:rsid w:val="4AC8455A"/>
    <w:rsid w:val="4B0C7AF5"/>
    <w:rsid w:val="4B4D3CCF"/>
    <w:rsid w:val="4B796684"/>
    <w:rsid w:val="4C136996"/>
    <w:rsid w:val="4CFD6710"/>
    <w:rsid w:val="4D983C53"/>
    <w:rsid w:val="4E43421F"/>
    <w:rsid w:val="4E901AF3"/>
    <w:rsid w:val="4EF3078B"/>
    <w:rsid w:val="50C36E52"/>
    <w:rsid w:val="50C45A90"/>
    <w:rsid w:val="50F72D90"/>
    <w:rsid w:val="50F90A67"/>
    <w:rsid w:val="51403516"/>
    <w:rsid w:val="51A86595"/>
    <w:rsid w:val="51C42833"/>
    <w:rsid w:val="51D42E7B"/>
    <w:rsid w:val="51EA7B11"/>
    <w:rsid w:val="520347DE"/>
    <w:rsid w:val="52052626"/>
    <w:rsid w:val="52313A6F"/>
    <w:rsid w:val="52785F5F"/>
    <w:rsid w:val="527D58A8"/>
    <w:rsid w:val="52C778D5"/>
    <w:rsid w:val="52EC786B"/>
    <w:rsid w:val="52ED14D4"/>
    <w:rsid w:val="52FA7036"/>
    <w:rsid w:val="538E7B7C"/>
    <w:rsid w:val="539359F6"/>
    <w:rsid w:val="53B65BB4"/>
    <w:rsid w:val="53CC4253"/>
    <w:rsid w:val="53EC093A"/>
    <w:rsid w:val="54223291"/>
    <w:rsid w:val="5465514E"/>
    <w:rsid w:val="552C2638"/>
    <w:rsid w:val="55692CF9"/>
    <w:rsid w:val="55B35460"/>
    <w:rsid w:val="55BC6699"/>
    <w:rsid w:val="55E8259F"/>
    <w:rsid w:val="567105C0"/>
    <w:rsid w:val="571559D2"/>
    <w:rsid w:val="57502862"/>
    <w:rsid w:val="578828F1"/>
    <w:rsid w:val="57AF6DB0"/>
    <w:rsid w:val="57E83CAD"/>
    <w:rsid w:val="57FE0610"/>
    <w:rsid w:val="57FF7200"/>
    <w:rsid w:val="58527C83"/>
    <w:rsid w:val="58816A8A"/>
    <w:rsid w:val="5B1A41F1"/>
    <w:rsid w:val="5B4955DC"/>
    <w:rsid w:val="5B9210A3"/>
    <w:rsid w:val="5BA87391"/>
    <w:rsid w:val="5C350466"/>
    <w:rsid w:val="5DF0097F"/>
    <w:rsid w:val="5E566061"/>
    <w:rsid w:val="5E95337D"/>
    <w:rsid w:val="5ED24055"/>
    <w:rsid w:val="5EF62958"/>
    <w:rsid w:val="5F1A0855"/>
    <w:rsid w:val="5FA16463"/>
    <w:rsid w:val="5FC12C24"/>
    <w:rsid w:val="5FC47891"/>
    <w:rsid w:val="601B08D6"/>
    <w:rsid w:val="60921EC0"/>
    <w:rsid w:val="62733E91"/>
    <w:rsid w:val="62D54333"/>
    <w:rsid w:val="63614C60"/>
    <w:rsid w:val="636151C3"/>
    <w:rsid w:val="638107D5"/>
    <w:rsid w:val="63BC5BD3"/>
    <w:rsid w:val="640474C9"/>
    <w:rsid w:val="64104F4C"/>
    <w:rsid w:val="642B1F2B"/>
    <w:rsid w:val="645B4534"/>
    <w:rsid w:val="64EF2F23"/>
    <w:rsid w:val="64FF138B"/>
    <w:rsid w:val="652E2EBE"/>
    <w:rsid w:val="656F25A6"/>
    <w:rsid w:val="658337A6"/>
    <w:rsid w:val="65E71FEC"/>
    <w:rsid w:val="662E1063"/>
    <w:rsid w:val="66A543E5"/>
    <w:rsid w:val="66BE70F2"/>
    <w:rsid w:val="66EF4439"/>
    <w:rsid w:val="67F51B92"/>
    <w:rsid w:val="67F935C4"/>
    <w:rsid w:val="683217C7"/>
    <w:rsid w:val="689A7021"/>
    <w:rsid w:val="68F06AF1"/>
    <w:rsid w:val="6961324E"/>
    <w:rsid w:val="6A7B0567"/>
    <w:rsid w:val="6ACB77EA"/>
    <w:rsid w:val="6BCF13A0"/>
    <w:rsid w:val="6C333CCB"/>
    <w:rsid w:val="6C437050"/>
    <w:rsid w:val="6CCC520E"/>
    <w:rsid w:val="6CD0396B"/>
    <w:rsid w:val="6D104566"/>
    <w:rsid w:val="6D113042"/>
    <w:rsid w:val="6E1177C0"/>
    <w:rsid w:val="6E167797"/>
    <w:rsid w:val="6E406088"/>
    <w:rsid w:val="6E6419C0"/>
    <w:rsid w:val="6E750863"/>
    <w:rsid w:val="6F5D685F"/>
    <w:rsid w:val="6FB804DE"/>
    <w:rsid w:val="709551F8"/>
    <w:rsid w:val="70B8435D"/>
    <w:rsid w:val="719C48AF"/>
    <w:rsid w:val="719E7F24"/>
    <w:rsid w:val="71CE0B6A"/>
    <w:rsid w:val="730744FB"/>
    <w:rsid w:val="732F05B9"/>
    <w:rsid w:val="734814C3"/>
    <w:rsid w:val="73A427BE"/>
    <w:rsid w:val="73E72B27"/>
    <w:rsid w:val="73F40657"/>
    <w:rsid w:val="744F6D00"/>
    <w:rsid w:val="74B10703"/>
    <w:rsid w:val="75354E6D"/>
    <w:rsid w:val="755F3CD9"/>
    <w:rsid w:val="76331B36"/>
    <w:rsid w:val="765D23F9"/>
    <w:rsid w:val="76820C34"/>
    <w:rsid w:val="769312B2"/>
    <w:rsid w:val="77573CB8"/>
    <w:rsid w:val="77717030"/>
    <w:rsid w:val="77A6550C"/>
    <w:rsid w:val="78284758"/>
    <w:rsid w:val="7878541E"/>
    <w:rsid w:val="787B46EC"/>
    <w:rsid w:val="78D45E78"/>
    <w:rsid w:val="792040DF"/>
    <w:rsid w:val="794B5EB0"/>
    <w:rsid w:val="79516732"/>
    <w:rsid w:val="79A91A84"/>
    <w:rsid w:val="79D162D1"/>
    <w:rsid w:val="7AB35FD6"/>
    <w:rsid w:val="7ABA7DFD"/>
    <w:rsid w:val="7B1B2A8F"/>
    <w:rsid w:val="7B7446E2"/>
    <w:rsid w:val="7C7719E7"/>
    <w:rsid w:val="7C8A5130"/>
    <w:rsid w:val="7CDA07AB"/>
    <w:rsid w:val="7D5B63E4"/>
    <w:rsid w:val="7D670E31"/>
    <w:rsid w:val="7E086A6C"/>
    <w:rsid w:val="7E134CF1"/>
    <w:rsid w:val="7E7F2749"/>
    <w:rsid w:val="7E9810FD"/>
    <w:rsid w:val="7ED46DC5"/>
    <w:rsid w:val="7F8679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508" w:right="9055"/>
      <w:jc w:val="center"/>
      <w:outlineLvl w:val="1"/>
    </w:pPr>
    <w:rPr>
      <w:rFonts w:ascii="宋体" w:hAnsi="宋体" w:eastAsia="宋体" w:cs="宋体"/>
      <w:b/>
      <w:bCs/>
      <w:sz w:val="31"/>
      <w:szCs w:val="31"/>
      <w:lang w:val="zh-CN" w:eastAsia="zh-CN" w:bidi="zh-CN"/>
    </w:rPr>
  </w:style>
  <w:style w:type="paragraph" w:styleId="4">
    <w:name w:val="heading 2"/>
    <w:basedOn w:val="1"/>
    <w:next w:val="1"/>
    <w:qFormat/>
    <w:uiPriority w:val="1"/>
    <w:pPr>
      <w:ind w:left="508" w:right="1325"/>
      <w:jc w:val="center"/>
      <w:outlineLvl w:val="2"/>
    </w:pPr>
    <w:rPr>
      <w:rFonts w:ascii="宋体" w:hAnsi="宋体" w:eastAsia="宋体" w:cs="宋体"/>
      <w:b/>
      <w:bCs/>
      <w:sz w:val="30"/>
      <w:szCs w:val="30"/>
      <w:lang w:val="zh-CN" w:eastAsia="zh-CN" w:bidi="zh-CN"/>
    </w:rPr>
  </w:style>
  <w:style w:type="paragraph" w:styleId="5">
    <w:name w:val="heading 3"/>
    <w:basedOn w:val="1"/>
    <w:next w:val="1"/>
    <w:qFormat/>
    <w:uiPriority w:val="1"/>
    <w:pPr>
      <w:ind w:left="426"/>
      <w:outlineLvl w:val="3"/>
    </w:pPr>
    <w:rPr>
      <w:rFonts w:ascii="宋体" w:hAnsi="宋体" w:eastAsia="宋体" w:cs="宋体"/>
      <w:b/>
      <w:bCs/>
      <w:sz w:val="24"/>
      <w:szCs w:val="24"/>
      <w:lang w:val="zh-CN" w:eastAsia="zh-CN" w:bidi="zh-CN"/>
    </w:rPr>
  </w:style>
  <w:style w:type="paragraph" w:styleId="6">
    <w:name w:val="heading 4"/>
    <w:basedOn w:val="1"/>
    <w:next w:val="1"/>
    <w:qFormat/>
    <w:uiPriority w:val="1"/>
    <w:pPr>
      <w:spacing w:before="158"/>
      <w:ind w:left="651"/>
      <w:outlineLvl w:val="4"/>
    </w:pPr>
    <w:rPr>
      <w:rFonts w:ascii="宋体" w:hAnsi="宋体" w:eastAsia="宋体" w:cs="宋体"/>
      <w:sz w:val="24"/>
      <w:szCs w:val="24"/>
      <w:lang w:val="zh-CN" w:eastAsia="zh-CN" w:bidi="zh-CN"/>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jc w:val="left"/>
    </w:pPr>
    <w:rPr>
      <w:rFonts w:ascii="宋体" w:hAnsi="Calibri"/>
      <w:kern w:val="21"/>
      <w:szCs w:val="21"/>
    </w:r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Body Text Indent"/>
    <w:basedOn w:val="1"/>
    <w:next w:val="10"/>
    <w:qFormat/>
    <w:uiPriority w:val="99"/>
    <w:pPr>
      <w:spacing w:line="560" w:lineRule="exact"/>
      <w:ind w:left="300"/>
    </w:pPr>
    <w:rPr>
      <w:kern w:val="0"/>
      <w:sz w:val="24"/>
      <w:szCs w:val="20"/>
    </w:r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0"/>
    <w:rPr>
      <w:rFonts w:ascii="宋体" w:hAnsi="Courier New"/>
      <w:kern w:val="0"/>
      <w:szCs w:val="20"/>
    </w:rPr>
  </w:style>
  <w:style w:type="paragraph" w:styleId="12">
    <w:name w:val="Body Text Indent 2"/>
    <w:basedOn w:val="1"/>
    <w:qFormat/>
    <w:uiPriority w:val="99"/>
    <w:pPr>
      <w:spacing w:line="540" w:lineRule="exact"/>
      <w:ind w:left="462" w:leftChars="220"/>
    </w:pPr>
    <w:rPr>
      <w:kern w:val="0"/>
      <w:sz w:val="24"/>
      <w:szCs w:val="20"/>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toc 1"/>
    <w:basedOn w:val="1"/>
    <w:next w:val="1"/>
    <w:qFormat/>
    <w:uiPriority w:val="1"/>
    <w:pPr>
      <w:spacing w:before="98"/>
      <w:ind w:left="426"/>
    </w:pPr>
    <w:rPr>
      <w:rFonts w:ascii="宋体" w:hAnsi="宋体" w:eastAsia="宋体" w:cs="宋体"/>
      <w:sz w:val="24"/>
      <w:szCs w:val="24"/>
      <w:lang w:val="zh-CN" w:eastAsia="zh-CN" w:bidi="zh-CN"/>
    </w:rPr>
  </w:style>
  <w:style w:type="paragraph" w:styleId="15">
    <w:name w:val="toc 2"/>
    <w:basedOn w:val="1"/>
    <w:next w:val="1"/>
    <w:link w:val="24"/>
    <w:qFormat/>
    <w:uiPriority w:val="1"/>
    <w:pPr>
      <w:spacing w:before="98"/>
      <w:ind w:left="907"/>
    </w:pPr>
    <w:rPr>
      <w:rFonts w:ascii="宋体" w:hAnsi="宋体" w:eastAsia="宋体" w:cs="宋体"/>
      <w:sz w:val="24"/>
      <w:szCs w:val="24"/>
      <w:lang w:val="zh-CN" w:eastAsia="zh-CN" w:bidi="zh-CN"/>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Hyperlink"/>
    <w:qFormat/>
    <w:uiPriority w:val="99"/>
    <w:rPr>
      <w:rFonts w:cs="Times New Roman"/>
      <w:color w:val="0000FF"/>
      <w:u w:val="single"/>
    </w:rPr>
  </w:style>
  <w:style w:type="paragraph" w:customStyle="1" w:styleId="20">
    <w:name w:val="_Style 3"/>
    <w:basedOn w:val="1"/>
    <w:qFormat/>
    <w:uiPriority w:val="0"/>
    <w:pPr>
      <w:ind w:firstLine="420" w:firstLineChars="200"/>
    </w:pPr>
    <w:rPr>
      <w:sz w:val="20"/>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427" w:hanging="42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目录 2 Char"/>
    <w:link w:val="15"/>
    <w:qFormat/>
    <w:uiPriority w:val="1"/>
    <w:rPr>
      <w:rFonts w:ascii="宋体" w:hAnsi="宋体" w:eastAsia="宋体" w:cs="宋体"/>
      <w:sz w:val="24"/>
      <w:szCs w:val="24"/>
      <w:lang w:val="zh-CN" w:eastAsia="zh-CN" w:bidi="zh-CN"/>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 w:type="paragraph" w:customStyle="1" w:styleId="28">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character" w:customStyle="1" w:styleId="29">
    <w:name w:val="font41"/>
    <w:qFormat/>
    <w:uiPriority w:val="0"/>
    <w:rPr>
      <w:rFonts w:hint="eastAsia" w:ascii="宋体" w:hAnsi="宋体" w:eastAsia="宋体" w:cs="宋体"/>
      <w:color w:val="000000"/>
      <w:sz w:val="22"/>
      <w:szCs w:val="22"/>
      <w:u w:val="none"/>
    </w:r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31">
    <w:name w:val="发文落款"/>
    <w:basedOn w:val="30"/>
    <w:qFormat/>
    <w:uiPriority w:val="0"/>
    <w:pPr>
      <w:ind w:left="4094" w:right="607" w:firstLine="0"/>
      <w:jc w:val="center"/>
    </w:pPr>
  </w:style>
  <w:style w:type="paragraph" w:customStyle="1" w:styleId="3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32"/>
    <customShpInfo spid="_x0000_s1033"/>
    <customShpInfo spid="_x0000_s1035"/>
    <customShpInfo spid="_x0000_s1036"/>
    <customShpInfo spid="_x0000_s1034"/>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2021-07-28T11:41:00Z</dcterms:created>
  <dc:creator>puff</dc:creator>
  <cp:lastModifiedBy>莫敬文</cp:lastModifiedBy>
  <dcterms:modified xsi:type="dcterms:W3CDTF">2021-09-28T02:06:14Z</dcterms:modified>
  <dc:title>上海华漕城镇投资建设发展有限公司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Creator">
    <vt:lpwstr>Microsoft® Word 2013</vt:lpwstr>
  </property>
  <property fmtid="{D5CDD505-2E9C-101B-9397-08002B2CF9AE}" pid="4" name="LastSaved">
    <vt:filetime>2021-07-28T00:00:00Z</vt:filetime>
  </property>
  <property fmtid="{D5CDD505-2E9C-101B-9397-08002B2CF9AE}" pid="5" name="KSOProductBuildVer">
    <vt:lpwstr>2052-11.1.0.10314</vt:lpwstr>
  </property>
  <property fmtid="{D5CDD505-2E9C-101B-9397-08002B2CF9AE}" pid="6" name="ICV">
    <vt:lpwstr>6B58F947AB3642AEBEE183B845A0C44B</vt:lpwstr>
  </property>
</Properties>
</file>